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F7" w:rsidRDefault="00536DF7" w:rsidP="00536DF7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536DF7" w:rsidRDefault="00536DF7" w:rsidP="00536DF7"/>
    <w:p w:rsidR="00536DF7" w:rsidRDefault="00536DF7" w:rsidP="00536DF7">
      <w:r>
        <w:rPr>
          <w:noProof/>
        </w:rPr>
        <w:drawing>
          <wp:anchor distT="0" distB="0" distL="114300" distR="114300" simplePos="0" relativeHeight="251659264" behindDoc="0" locked="0" layoutInCell="1" allowOverlap="1" wp14:anchorId="27F4E6FD" wp14:editId="794E2EC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DF7" w:rsidRDefault="00536DF7" w:rsidP="00536DF7"/>
    <w:p w:rsidR="00536DF7" w:rsidRDefault="00536DF7" w:rsidP="00536DF7"/>
    <w:p w:rsidR="00536DF7" w:rsidRDefault="00536DF7" w:rsidP="00536DF7"/>
    <w:p w:rsidR="00536DF7" w:rsidRDefault="00536DF7" w:rsidP="00536DF7"/>
    <w:p w:rsidR="00536DF7" w:rsidRDefault="00536DF7" w:rsidP="00536DF7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36DF7" w:rsidTr="00D62E35">
        <w:trPr>
          <w:trHeight w:val="397"/>
        </w:trPr>
        <w:tc>
          <w:tcPr>
            <w:tcW w:w="9606" w:type="dxa"/>
          </w:tcPr>
          <w:p w:rsidR="00536DF7" w:rsidRDefault="00536DF7" w:rsidP="00D62E3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536DF7" w:rsidTr="00D62E35">
        <w:trPr>
          <w:trHeight w:val="875"/>
        </w:trPr>
        <w:tc>
          <w:tcPr>
            <w:tcW w:w="9606" w:type="dxa"/>
            <w:hideMark/>
          </w:tcPr>
          <w:p w:rsidR="00536DF7" w:rsidRDefault="00536DF7" w:rsidP="00D62E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36DF7" w:rsidRDefault="00536DF7" w:rsidP="00D62E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36DF7" w:rsidTr="00D62E35">
        <w:trPr>
          <w:trHeight w:val="397"/>
        </w:trPr>
        <w:tc>
          <w:tcPr>
            <w:tcW w:w="9606" w:type="dxa"/>
            <w:hideMark/>
          </w:tcPr>
          <w:p w:rsidR="00536DF7" w:rsidRDefault="00536DF7" w:rsidP="00D62E3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36DF7" w:rsidTr="00D62E35">
        <w:tc>
          <w:tcPr>
            <w:tcW w:w="9606" w:type="dxa"/>
            <w:hideMark/>
          </w:tcPr>
          <w:p w:rsidR="00536DF7" w:rsidRDefault="00536DF7" w:rsidP="00D62E3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36DF7" w:rsidTr="00D62E35">
        <w:trPr>
          <w:trHeight w:val="340"/>
        </w:trPr>
        <w:tc>
          <w:tcPr>
            <w:tcW w:w="9606" w:type="dxa"/>
            <w:vAlign w:val="center"/>
          </w:tcPr>
          <w:p w:rsidR="00536DF7" w:rsidRDefault="00536DF7" w:rsidP="00D62E3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536DF7" w:rsidRPr="00C46847" w:rsidRDefault="00536DF7" w:rsidP="00536DF7">
      <w:pPr>
        <w:jc w:val="center"/>
        <w:rPr>
          <w:sz w:val="20"/>
          <w:szCs w:val="20"/>
        </w:rPr>
      </w:pPr>
    </w:p>
    <w:p w:rsidR="00536DF7" w:rsidRPr="00C46847" w:rsidRDefault="00536DF7" w:rsidP="00536DF7">
      <w:pPr>
        <w:spacing w:line="192" w:lineRule="auto"/>
        <w:jc w:val="center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36DF7" w:rsidRPr="00C46847" w:rsidTr="00D62E35">
        <w:tc>
          <w:tcPr>
            <w:tcW w:w="284" w:type="dxa"/>
            <w:vAlign w:val="bottom"/>
            <w:hideMark/>
          </w:tcPr>
          <w:p w:rsidR="00536DF7" w:rsidRPr="00C46847" w:rsidRDefault="00536DF7" w:rsidP="00D62E35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36DF7" w:rsidRPr="00C46847" w:rsidRDefault="000D5199" w:rsidP="00D62E35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20.10.2025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536DF7" w:rsidRPr="00C46847" w:rsidRDefault="00536DF7" w:rsidP="00D62E35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36DF7" w:rsidRPr="00C46847" w:rsidRDefault="000D5199" w:rsidP="00D62E35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350</w:t>
            </w:r>
          </w:p>
        </w:tc>
      </w:tr>
      <w:tr w:rsidR="00536DF7" w:rsidTr="00D62E35">
        <w:tc>
          <w:tcPr>
            <w:tcW w:w="4650" w:type="dxa"/>
            <w:gridSpan w:val="4"/>
            <w:hideMark/>
          </w:tcPr>
          <w:p w:rsidR="00536DF7" w:rsidRDefault="00536DF7" w:rsidP="00D62E3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36DF7" w:rsidRDefault="00536DF7" w:rsidP="00D62E3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536DF7" w:rsidRDefault="00536DF7" w:rsidP="00536DF7"/>
    <w:p w:rsidR="00536DF7" w:rsidRPr="002F6444" w:rsidRDefault="00536DF7" w:rsidP="00536DF7">
      <w:pPr>
        <w:jc w:val="both"/>
        <w:rPr>
          <w:b/>
          <w:sz w:val="28"/>
          <w:szCs w:val="28"/>
        </w:rPr>
      </w:pPr>
      <w:r w:rsidRPr="002F6444">
        <w:rPr>
          <w:sz w:val="28"/>
          <w:szCs w:val="28"/>
        </w:rPr>
        <w:t xml:space="preserve">  </w:t>
      </w:r>
      <w:r w:rsidRPr="002F6444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6444">
        <w:rPr>
          <w:b/>
          <w:sz w:val="28"/>
          <w:szCs w:val="28"/>
        </w:rPr>
        <w:t>Камешкирского</w:t>
      </w:r>
      <w:proofErr w:type="spellEnd"/>
      <w:r w:rsidRPr="002F6444">
        <w:rPr>
          <w:b/>
          <w:sz w:val="28"/>
          <w:szCs w:val="28"/>
        </w:rPr>
        <w:t xml:space="preserve"> района Пензенской области </w:t>
      </w:r>
      <w:r w:rsidRPr="002F6444">
        <w:rPr>
          <w:b/>
          <w:bCs/>
          <w:color w:val="000000"/>
          <w:sz w:val="28"/>
          <w:szCs w:val="28"/>
        </w:rPr>
        <w:t>от 01.11.2024 № 385</w:t>
      </w:r>
      <w:r w:rsidRPr="002F644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Pr="002F6444">
        <w:rPr>
          <w:b/>
          <w:bCs/>
          <w:color w:val="000000"/>
          <w:sz w:val="28"/>
          <w:szCs w:val="28"/>
        </w:rPr>
        <w:t xml:space="preserve">б оплате труда работников органов местного самоуправления </w:t>
      </w:r>
      <w:proofErr w:type="spellStart"/>
      <w:r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/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b/>
          <w:sz w:val="28"/>
          <w:szCs w:val="28"/>
        </w:rPr>
        <w:t>»</w:t>
      </w:r>
    </w:p>
    <w:p w:rsidR="00536DF7" w:rsidRDefault="00536DF7" w:rsidP="00536DF7">
      <w:pPr>
        <w:rPr>
          <w:sz w:val="28"/>
          <w:szCs w:val="28"/>
        </w:rPr>
      </w:pPr>
    </w:p>
    <w:p w:rsidR="00536DF7" w:rsidRDefault="00536DF7" w:rsidP="00536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36DF7" w:rsidRDefault="00536DF7" w:rsidP="00536D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6DF7" w:rsidRDefault="00536DF7" w:rsidP="00536DF7"/>
    <w:p w:rsidR="00536DF7" w:rsidRDefault="00536DF7" w:rsidP="00536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2F6444">
        <w:rPr>
          <w:bCs/>
          <w:color w:val="000000"/>
          <w:sz w:val="28"/>
          <w:szCs w:val="28"/>
        </w:rPr>
        <w:t>от 01.11.2024 № 385</w:t>
      </w:r>
      <w:r w:rsidRPr="002F6444">
        <w:rPr>
          <w:sz w:val="28"/>
          <w:szCs w:val="28"/>
        </w:rPr>
        <w:t xml:space="preserve"> «</w:t>
      </w:r>
      <w:r w:rsidRPr="002F6444">
        <w:rPr>
          <w:bCs/>
          <w:color w:val="000000"/>
          <w:sz w:val="28"/>
          <w:szCs w:val="28"/>
        </w:rPr>
        <w:t xml:space="preserve">Об оплате труда работников органов местного самоуправления </w:t>
      </w:r>
      <w:proofErr w:type="spellStart"/>
      <w:r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(далее-постановление) следующее изменение, а именно:</w:t>
      </w:r>
    </w:p>
    <w:p w:rsidR="00536DF7" w:rsidRDefault="00536DF7" w:rsidP="00536DF7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011"/>
        <w:gridCol w:w="4075"/>
      </w:tblGrid>
      <w:tr w:rsidR="00536DF7" w:rsidRPr="002F6444" w:rsidTr="00D62E35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№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 xml:space="preserve">Должностной оклад </w:t>
            </w:r>
            <w:r w:rsidRPr="002F6444">
              <w:rPr>
                <w:sz w:val="28"/>
                <w:szCs w:val="28"/>
              </w:rPr>
              <w:lastRenderedPageBreak/>
              <w:t>(рублей в месяц)</w:t>
            </w:r>
          </w:p>
        </w:tc>
      </w:tr>
      <w:tr w:rsidR="00536DF7" w:rsidRPr="002F6444" w:rsidTr="00D62E35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8817</w:t>
            </w:r>
          </w:p>
        </w:tc>
      </w:tr>
      <w:tr w:rsidR="00536DF7" w:rsidRPr="002F6444" w:rsidTr="00D62E35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2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D62E35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DF7" w:rsidRPr="002F6444" w:rsidRDefault="00536DF7" w:rsidP="00536DF7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7687</w:t>
            </w:r>
          </w:p>
        </w:tc>
      </w:tr>
    </w:tbl>
    <w:p w:rsidR="00536DF7" w:rsidRDefault="00536DF7" w:rsidP="00536DF7">
      <w:pPr>
        <w:pStyle w:val="a5"/>
        <w:ind w:left="1440"/>
        <w:rPr>
          <w:sz w:val="28"/>
          <w:szCs w:val="28"/>
        </w:rPr>
      </w:pPr>
    </w:p>
    <w:p w:rsidR="00536DF7" w:rsidRPr="002F6444" w:rsidRDefault="00536DF7" w:rsidP="00536DF7">
      <w:pPr>
        <w:rPr>
          <w:i/>
          <w:sz w:val="28"/>
          <w:szCs w:val="28"/>
        </w:rPr>
      </w:pPr>
      <w:r w:rsidRPr="002F6444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2F6444">
        <w:rPr>
          <w:sz w:val="28"/>
          <w:szCs w:val="28"/>
        </w:rPr>
        <w:t>Камешкирский</w:t>
      </w:r>
      <w:proofErr w:type="spellEnd"/>
      <w:r w:rsidRPr="002F6444">
        <w:rPr>
          <w:sz w:val="28"/>
          <w:szCs w:val="28"/>
        </w:rPr>
        <w:t xml:space="preserve"> вестник»</w:t>
      </w:r>
      <w:r w:rsidRPr="002F6444">
        <w:rPr>
          <w:i/>
          <w:sz w:val="28"/>
          <w:szCs w:val="28"/>
        </w:rPr>
        <w:t>.</w:t>
      </w:r>
    </w:p>
    <w:p w:rsidR="00536DF7" w:rsidRDefault="00536DF7" w:rsidP="00536D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>на следующий день после дня его официального опубликования и распространяется на правоотношения,  возникшие с 01 октября 2025 г.</w:t>
      </w:r>
    </w:p>
    <w:p w:rsidR="00536DF7" w:rsidRDefault="00536DF7" w:rsidP="00536D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536DF7" w:rsidRDefault="00536DF7" w:rsidP="00536DF7">
      <w:pPr>
        <w:ind w:firstLine="720"/>
        <w:jc w:val="both"/>
        <w:rPr>
          <w:sz w:val="28"/>
          <w:szCs w:val="28"/>
        </w:rPr>
      </w:pPr>
    </w:p>
    <w:p w:rsidR="00536DF7" w:rsidRDefault="00536DF7" w:rsidP="00536DF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36DF7" w:rsidRDefault="00536DF7" w:rsidP="00536DF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536DF7" w:rsidRDefault="00536DF7" w:rsidP="00536DF7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536DF7" w:rsidRDefault="00536DF7" w:rsidP="00536DF7"/>
    <w:p w:rsidR="00536DF7" w:rsidRDefault="00536DF7" w:rsidP="00536DF7"/>
    <w:p w:rsidR="00577237" w:rsidRDefault="00577237"/>
    <w:sectPr w:rsidR="005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4943"/>
    <w:multiLevelType w:val="multilevel"/>
    <w:tmpl w:val="8A682B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F7"/>
    <w:rsid w:val="000D5199"/>
    <w:rsid w:val="00536DF7"/>
    <w:rsid w:val="0057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36DF7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6DF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36DF7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536DF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6DF7"/>
    <w:pPr>
      <w:ind w:left="720"/>
      <w:contextualSpacing/>
    </w:pPr>
  </w:style>
  <w:style w:type="paragraph" w:customStyle="1" w:styleId="ConsPlusNormal">
    <w:name w:val="ConsPlusNormal"/>
    <w:rsid w:val="00536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36DF7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6DF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36DF7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536DF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6DF7"/>
    <w:pPr>
      <w:ind w:left="720"/>
      <w:contextualSpacing/>
    </w:pPr>
  </w:style>
  <w:style w:type="paragraph" w:customStyle="1" w:styleId="ConsPlusNormal">
    <w:name w:val="ConsPlusNormal"/>
    <w:rsid w:val="00536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2025-10-08T07:56:00Z</dcterms:created>
  <dcterms:modified xsi:type="dcterms:W3CDTF">2025-10-21T05:57:00Z</dcterms:modified>
</cp:coreProperties>
</file>