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52" w:rsidRPr="00703C93" w:rsidRDefault="00111D52" w:rsidP="00111D52"/>
    <w:p w:rsidR="00111D52" w:rsidRPr="00703C93" w:rsidRDefault="00111D52" w:rsidP="00111D5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97155</wp:posOffset>
            </wp:positionV>
            <wp:extent cx="864235" cy="1059180"/>
            <wp:effectExtent l="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1D52" w:rsidRPr="00703C93" w:rsidRDefault="00111D52" w:rsidP="00111D52">
      <w:pPr>
        <w:jc w:val="both"/>
      </w:pPr>
    </w:p>
    <w:p w:rsidR="00111D52" w:rsidRPr="00703C93" w:rsidRDefault="00111D52" w:rsidP="00111D52">
      <w:pPr>
        <w:jc w:val="both"/>
      </w:pPr>
    </w:p>
    <w:p w:rsidR="00111D52" w:rsidRPr="00703C93" w:rsidRDefault="00111D52" w:rsidP="00111D52">
      <w:pPr>
        <w:jc w:val="both"/>
      </w:pPr>
    </w:p>
    <w:p w:rsidR="00111D52" w:rsidRPr="00703C93" w:rsidRDefault="00111D52" w:rsidP="00111D52">
      <w:pPr>
        <w:jc w:val="both"/>
      </w:pPr>
    </w:p>
    <w:p w:rsidR="00111D52" w:rsidRPr="00703C93" w:rsidRDefault="00111D52" w:rsidP="00111D52">
      <w:pPr>
        <w:jc w:val="both"/>
      </w:pPr>
    </w:p>
    <w:p w:rsidR="00111D52" w:rsidRPr="00703C93" w:rsidRDefault="00111D52" w:rsidP="00111D52">
      <w:pPr>
        <w:jc w:val="both"/>
      </w:pPr>
    </w:p>
    <w:p w:rsidR="00111D52" w:rsidRPr="00703C93" w:rsidRDefault="00111D52" w:rsidP="00111D52">
      <w:pPr>
        <w:jc w:val="both"/>
      </w:pPr>
    </w:p>
    <w:tbl>
      <w:tblPr>
        <w:tblpPr w:leftFromText="180" w:rightFromText="180" w:vertAnchor="text" w:horzAnchor="margin" w:tblpY="-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11D52" w:rsidRPr="00703C93" w:rsidTr="003402BF">
        <w:trPr>
          <w:trHeight w:val="397"/>
        </w:trPr>
        <w:tc>
          <w:tcPr>
            <w:tcW w:w="9606" w:type="dxa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11D52" w:rsidRPr="00703C93" w:rsidTr="003402BF">
        <w:tc>
          <w:tcPr>
            <w:tcW w:w="9606" w:type="dxa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03C93">
              <w:rPr>
                <w:b/>
              </w:rPr>
              <w:t>АДМИНИСТРАЦИЯ</w:t>
            </w:r>
          </w:p>
        </w:tc>
      </w:tr>
      <w:tr w:rsidR="00111D52" w:rsidRPr="00703C93" w:rsidTr="003402BF">
        <w:trPr>
          <w:trHeight w:val="397"/>
        </w:trPr>
        <w:tc>
          <w:tcPr>
            <w:tcW w:w="9606" w:type="dxa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03C93">
              <w:rPr>
                <w:b/>
              </w:rPr>
              <w:t>КАМЕШКИРСКОГО РАЙОНА ПЕНЗЕНСКОЙ ОБЛАСТИ</w:t>
            </w:r>
          </w:p>
        </w:tc>
      </w:tr>
      <w:tr w:rsidR="00111D52" w:rsidRPr="00703C93" w:rsidTr="003402BF">
        <w:trPr>
          <w:trHeight w:val="314"/>
        </w:trPr>
        <w:tc>
          <w:tcPr>
            <w:tcW w:w="9606" w:type="dxa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11D52" w:rsidRPr="00703C93" w:rsidTr="003402BF">
        <w:trPr>
          <w:trHeight w:val="548"/>
        </w:trPr>
        <w:tc>
          <w:tcPr>
            <w:tcW w:w="9606" w:type="dxa"/>
            <w:vAlign w:val="center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03C93">
              <w:rPr>
                <w:b/>
              </w:rPr>
              <w:t>ПОСТАНОВЛЕНИЕ</w:t>
            </w:r>
          </w:p>
        </w:tc>
      </w:tr>
      <w:tr w:rsidR="00111D52" w:rsidRPr="00703C93" w:rsidTr="003402BF">
        <w:trPr>
          <w:trHeight w:val="212"/>
        </w:trPr>
        <w:tc>
          <w:tcPr>
            <w:tcW w:w="9606" w:type="dxa"/>
            <w:vAlign w:val="center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11D52" w:rsidRPr="00703C93" w:rsidRDefault="00111D52" w:rsidP="00111D52">
      <w:pPr>
        <w:shd w:val="clear" w:color="auto" w:fill="FFFFFF"/>
        <w:spacing w:before="125"/>
        <w:jc w:val="center"/>
        <w:rPr>
          <w:color w:val="212121"/>
        </w:rPr>
      </w:pPr>
    </w:p>
    <w:tbl>
      <w:tblPr>
        <w:tblpPr w:leftFromText="180" w:rightFromText="180" w:vertAnchor="text" w:horzAnchor="margin" w:tblpXSpec="center" w:tblpY="30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11D52" w:rsidRPr="00703C93" w:rsidTr="003402BF">
        <w:tc>
          <w:tcPr>
            <w:tcW w:w="284" w:type="dxa"/>
            <w:vAlign w:val="bottom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3C93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1D52" w:rsidRPr="00703C93" w:rsidRDefault="00F13A83" w:rsidP="00340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29.10.18</w:t>
            </w:r>
          </w:p>
        </w:tc>
        <w:tc>
          <w:tcPr>
            <w:tcW w:w="397" w:type="dxa"/>
            <w:vAlign w:val="bottom"/>
          </w:tcPr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3C93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11D52" w:rsidRPr="00703C93" w:rsidRDefault="00F13A83" w:rsidP="003402B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324</w:t>
            </w:r>
            <w:bookmarkStart w:id="0" w:name="_GoBack"/>
            <w:bookmarkEnd w:id="0"/>
          </w:p>
        </w:tc>
      </w:tr>
      <w:tr w:rsidR="00111D52" w:rsidRPr="00703C93" w:rsidTr="003402BF">
        <w:tc>
          <w:tcPr>
            <w:tcW w:w="4650" w:type="dxa"/>
            <w:gridSpan w:val="4"/>
          </w:tcPr>
          <w:p w:rsidR="00111D52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3C93">
              <w:t>с.Р.Камешкир</w:t>
            </w:r>
          </w:p>
          <w:p w:rsidR="00111D52" w:rsidRPr="00703C93" w:rsidRDefault="00111D52" w:rsidP="003402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11D52" w:rsidRPr="00703C93" w:rsidRDefault="00111D52" w:rsidP="00111D52">
      <w:pPr>
        <w:shd w:val="clear" w:color="auto" w:fill="FFFFFF"/>
        <w:spacing w:before="125"/>
        <w:jc w:val="center"/>
        <w:rPr>
          <w:color w:val="212121"/>
        </w:rPr>
      </w:pPr>
    </w:p>
    <w:p w:rsidR="00111D52" w:rsidRPr="00703C93" w:rsidRDefault="00111D52" w:rsidP="00111D52">
      <w:pPr>
        <w:shd w:val="clear" w:color="auto" w:fill="FFFFFF"/>
        <w:spacing w:before="125"/>
        <w:jc w:val="center"/>
        <w:rPr>
          <w:color w:val="212121"/>
        </w:rPr>
      </w:pPr>
    </w:p>
    <w:p w:rsidR="00111D52" w:rsidRDefault="00111D52" w:rsidP="00111D52">
      <w:pPr>
        <w:shd w:val="clear" w:color="auto" w:fill="FFFFFF"/>
        <w:spacing w:before="115"/>
        <w:ind w:left="10" w:right="10" w:firstLine="794"/>
        <w:rPr>
          <w:b/>
          <w:color w:val="212121"/>
        </w:rPr>
      </w:pPr>
    </w:p>
    <w:p w:rsidR="00111D52" w:rsidRPr="00703C93" w:rsidRDefault="00111D52" w:rsidP="00111D52">
      <w:pPr>
        <w:shd w:val="clear" w:color="auto" w:fill="FFFFFF"/>
        <w:spacing w:before="115"/>
        <w:ind w:left="10" w:right="10" w:firstLine="794"/>
        <w:rPr>
          <w:color w:val="212121"/>
          <w:spacing w:val="12"/>
        </w:rPr>
      </w:pPr>
      <w:r>
        <w:rPr>
          <w:b/>
          <w:color w:val="212121"/>
        </w:rPr>
        <w:t>Об утверждении  методики оценки кредитоспособности Заемщиков –  субъектов</w:t>
      </w:r>
      <w:r w:rsidRPr="00703C93">
        <w:rPr>
          <w:b/>
          <w:color w:val="212121"/>
        </w:rPr>
        <w:t xml:space="preserve"> малого и среднего предпринимательства </w:t>
      </w:r>
      <w:proofErr w:type="spellStart"/>
      <w:r w:rsidRPr="00703C93">
        <w:rPr>
          <w:b/>
          <w:color w:val="212121"/>
        </w:rPr>
        <w:t>Камешкирского</w:t>
      </w:r>
      <w:proofErr w:type="spellEnd"/>
      <w:r w:rsidRPr="00703C93">
        <w:rPr>
          <w:b/>
          <w:color w:val="212121"/>
        </w:rPr>
        <w:t xml:space="preserve"> района Пензенской области</w:t>
      </w:r>
      <w:r w:rsidRPr="00703C93">
        <w:rPr>
          <w:color w:val="212121"/>
        </w:rPr>
        <w:t xml:space="preserve">. </w:t>
      </w:r>
    </w:p>
    <w:p w:rsidR="00111D52" w:rsidRPr="00703C93" w:rsidRDefault="00111D52" w:rsidP="001815F3">
      <w:pPr>
        <w:shd w:val="clear" w:color="auto" w:fill="FFFFFF"/>
        <w:spacing w:before="115"/>
        <w:ind w:left="10" w:right="10"/>
        <w:jc w:val="both"/>
        <w:rPr>
          <w:color w:val="212121"/>
          <w:spacing w:val="12"/>
        </w:rPr>
      </w:pPr>
      <w:r w:rsidRPr="00703C93">
        <w:rPr>
          <w:color w:val="212121"/>
          <w:spacing w:val="12"/>
        </w:rPr>
        <w:t xml:space="preserve">    </w:t>
      </w:r>
      <w:proofErr w:type="gramStart"/>
      <w:r w:rsidRPr="00703C93">
        <w:rPr>
          <w:color w:val="212121"/>
          <w:spacing w:val="12"/>
        </w:rPr>
        <w:t xml:space="preserve">В целях реализации мероприятий муниципальной поддержки малого предпринимательства, руководствуясь подпрограммой «Развитие и поддержка малого и среднего предпринимательства в </w:t>
      </w:r>
      <w:proofErr w:type="spellStart"/>
      <w:r w:rsidRPr="00703C93">
        <w:rPr>
          <w:color w:val="212121"/>
          <w:spacing w:val="12"/>
        </w:rPr>
        <w:t>Камешкирском</w:t>
      </w:r>
      <w:proofErr w:type="spellEnd"/>
      <w:r w:rsidRPr="00703C93">
        <w:rPr>
          <w:color w:val="212121"/>
          <w:spacing w:val="12"/>
        </w:rPr>
        <w:t xml:space="preserve"> районе Пензенской области на 2014- 2015гг» муниципальной  программы «Развитие инвестиционного потенциала и предпринимательства в </w:t>
      </w:r>
      <w:proofErr w:type="spellStart"/>
      <w:r w:rsidRPr="00703C93">
        <w:rPr>
          <w:color w:val="212121"/>
          <w:spacing w:val="12"/>
        </w:rPr>
        <w:t>Камешкирском</w:t>
      </w:r>
      <w:proofErr w:type="spellEnd"/>
      <w:r w:rsidRPr="00703C93">
        <w:rPr>
          <w:color w:val="212121"/>
          <w:spacing w:val="12"/>
        </w:rPr>
        <w:t xml:space="preserve"> районе Пензенской области на 2014- 2020гг» утвержденной постановлением администрации </w:t>
      </w:r>
      <w:proofErr w:type="spellStart"/>
      <w:r w:rsidRPr="00703C93">
        <w:rPr>
          <w:color w:val="212121"/>
          <w:spacing w:val="12"/>
        </w:rPr>
        <w:t>Камешкирского</w:t>
      </w:r>
      <w:proofErr w:type="spellEnd"/>
      <w:r w:rsidRPr="00703C93">
        <w:rPr>
          <w:color w:val="212121"/>
          <w:spacing w:val="12"/>
        </w:rPr>
        <w:t xml:space="preserve"> района № 333 от 01.11.2013г., руководствуясь «Порядком предоставления муниципальным предприятием «</w:t>
      </w:r>
      <w:proofErr w:type="spellStart"/>
      <w:r w:rsidRPr="00703C93">
        <w:rPr>
          <w:color w:val="212121"/>
          <w:spacing w:val="12"/>
        </w:rPr>
        <w:t>Камешкирское</w:t>
      </w:r>
      <w:proofErr w:type="spellEnd"/>
      <w:r w:rsidRPr="00703C93">
        <w:rPr>
          <w:color w:val="212121"/>
          <w:spacing w:val="12"/>
        </w:rPr>
        <w:t xml:space="preserve"> агентство по развитию предпринимательства» товарных</w:t>
      </w:r>
      <w:proofErr w:type="gramEnd"/>
      <w:r w:rsidRPr="00703C93">
        <w:rPr>
          <w:color w:val="212121"/>
          <w:spacing w:val="12"/>
        </w:rPr>
        <w:t xml:space="preserve"> кредитов субъектам малого и среднего предпринимательства утвержденного постановлением администрации </w:t>
      </w:r>
      <w:proofErr w:type="spellStart"/>
      <w:r w:rsidRPr="00703C93">
        <w:rPr>
          <w:color w:val="212121"/>
          <w:spacing w:val="12"/>
        </w:rPr>
        <w:t>Камешкирского</w:t>
      </w:r>
      <w:proofErr w:type="spellEnd"/>
      <w:r w:rsidRPr="00703C93">
        <w:rPr>
          <w:color w:val="212121"/>
          <w:spacing w:val="12"/>
        </w:rPr>
        <w:t xml:space="preserve"> района Пензенской области №151 от 01.07.2016 года, Уставом </w:t>
      </w:r>
      <w:proofErr w:type="spellStart"/>
      <w:r w:rsidRPr="00703C93">
        <w:rPr>
          <w:color w:val="212121"/>
          <w:spacing w:val="12"/>
        </w:rPr>
        <w:t>Камешкирского</w:t>
      </w:r>
      <w:proofErr w:type="spellEnd"/>
      <w:r w:rsidRPr="00703C93">
        <w:rPr>
          <w:color w:val="212121"/>
          <w:spacing w:val="12"/>
        </w:rPr>
        <w:t xml:space="preserve"> района, Пензенской области, администрация </w:t>
      </w:r>
      <w:proofErr w:type="spellStart"/>
      <w:r w:rsidRPr="00703C93">
        <w:rPr>
          <w:color w:val="212121"/>
          <w:spacing w:val="12"/>
        </w:rPr>
        <w:t>Камешкирского</w:t>
      </w:r>
      <w:proofErr w:type="spellEnd"/>
      <w:r w:rsidRPr="00703C93">
        <w:rPr>
          <w:color w:val="212121"/>
          <w:spacing w:val="12"/>
        </w:rPr>
        <w:t xml:space="preserve"> района Пензенской области</w:t>
      </w:r>
      <w:r w:rsidRPr="00703C93">
        <w:rPr>
          <w:b/>
          <w:color w:val="212121"/>
          <w:spacing w:val="12"/>
        </w:rPr>
        <w:t xml:space="preserve"> </w:t>
      </w:r>
    </w:p>
    <w:p w:rsidR="00111D52" w:rsidRPr="00703C93" w:rsidRDefault="00111D52" w:rsidP="001815F3">
      <w:pPr>
        <w:shd w:val="clear" w:color="auto" w:fill="FFFFFF"/>
        <w:spacing w:before="115"/>
        <w:ind w:left="10" w:right="10"/>
        <w:jc w:val="center"/>
        <w:rPr>
          <w:color w:val="212121"/>
          <w:spacing w:val="12"/>
        </w:rPr>
      </w:pPr>
      <w:r w:rsidRPr="00703C93">
        <w:rPr>
          <w:b/>
          <w:color w:val="212121"/>
          <w:spacing w:val="12"/>
        </w:rPr>
        <w:t>постановляет</w:t>
      </w:r>
      <w:r w:rsidRPr="00703C93">
        <w:rPr>
          <w:color w:val="212121"/>
          <w:spacing w:val="12"/>
        </w:rPr>
        <w:t>:</w:t>
      </w:r>
    </w:p>
    <w:p w:rsidR="00111D52" w:rsidRPr="00703C93" w:rsidRDefault="00111D52" w:rsidP="001815F3">
      <w:pPr>
        <w:shd w:val="clear" w:color="auto" w:fill="FFFFFF"/>
        <w:spacing w:before="115"/>
        <w:ind w:left="10" w:right="10"/>
        <w:jc w:val="both"/>
        <w:rPr>
          <w:color w:val="212121"/>
          <w:spacing w:val="12"/>
        </w:rPr>
      </w:pPr>
      <w:r w:rsidRPr="00703C93">
        <w:t>1.</w:t>
      </w:r>
      <w:r>
        <w:t xml:space="preserve">Утвердить </w:t>
      </w:r>
      <w:r w:rsidRPr="00111D52">
        <w:rPr>
          <w:color w:val="212121"/>
        </w:rPr>
        <w:t xml:space="preserve">методику оценки кредитоспособности Заемщиков –  субъектов малого и среднего предпринимательства </w:t>
      </w:r>
      <w:proofErr w:type="spellStart"/>
      <w:r w:rsidRPr="00111D52">
        <w:rPr>
          <w:color w:val="212121"/>
        </w:rPr>
        <w:t>Камешкир</w:t>
      </w:r>
      <w:r w:rsidR="001815F3">
        <w:rPr>
          <w:color w:val="212121"/>
        </w:rPr>
        <w:t>ского</w:t>
      </w:r>
      <w:proofErr w:type="spellEnd"/>
      <w:r w:rsidR="001815F3">
        <w:rPr>
          <w:color w:val="212121"/>
        </w:rPr>
        <w:t xml:space="preserve"> района Пензенской области, </w:t>
      </w:r>
      <w:proofErr w:type="gramStart"/>
      <w:r w:rsidR="001815F3">
        <w:rPr>
          <w:color w:val="212121"/>
        </w:rPr>
        <w:t xml:space="preserve">согласно </w:t>
      </w:r>
      <w:r>
        <w:rPr>
          <w:color w:val="212121"/>
        </w:rPr>
        <w:t>Приложени</w:t>
      </w:r>
      <w:r w:rsidR="001815F3">
        <w:rPr>
          <w:color w:val="212121"/>
        </w:rPr>
        <w:t>я</w:t>
      </w:r>
      <w:proofErr w:type="gramEnd"/>
      <w:r>
        <w:rPr>
          <w:color w:val="212121"/>
        </w:rPr>
        <w:t xml:space="preserve"> № 1</w:t>
      </w:r>
      <w:r w:rsidR="001815F3">
        <w:rPr>
          <w:color w:val="212121"/>
          <w:spacing w:val="12"/>
        </w:rPr>
        <w:t xml:space="preserve"> к настоящему постановлению.</w:t>
      </w:r>
    </w:p>
    <w:p w:rsidR="00111D52" w:rsidRPr="00703C93" w:rsidRDefault="00111D52" w:rsidP="001815F3">
      <w:pPr>
        <w:jc w:val="both"/>
      </w:pPr>
      <w:r w:rsidRPr="00703C93">
        <w:t xml:space="preserve">2. </w:t>
      </w:r>
      <w:proofErr w:type="gramStart"/>
      <w:r w:rsidRPr="00703C93">
        <w:t>Контроль за</w:t>
      </w:r>
      <w:proofErr w:type="gramEnd"/>
      <w:r w:rsidRPr="00703C93"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703C93">
        <w:t>Камешкирского</w:t>
      </w:r>
      <w:proofErr w:type="spellEnd"/>
      <w:r w:rsidRPr="00703C93">
        <w:t xml:space="preserve"> района Пензенской области.</w:t>
      </w:r>
    </w:p>
    <w:p w:rsidR="00111D52" w:rsidRPr="00703C93" w:rsidRDefault="00111D52" w:rsidP="00111D52"/>
    <w:p w:rsidR="00111D52" w:rsidRPr="00703C93" w:rsidRDefault="00111D52" w:rsidP="00111D52">
      <w:r w:rsidRPr="00703C93">
        <w:t xml:space="preserve">Глава администрации </w:t>
      </w:r>
    </w:p>
    <w:p w:rsidR="00111D52" w:rsidRPr="00703C93" w:rsidRDefault="00111D52" w:rsidP="00111D52">
      <w:proofErr w:type="spellStart"/>
      <w:r w:rsidRPr="00703C93">
        <w:t>Камешкирского</w:t>
      </w:r>
      <w:proofErr w:type="spellEnd"/>
      <w:r w:rsidRPr="00703C93">
        <w:t xml:space="preserve"> района                                                                     С.Н. </w:t>
      </w:r>
      <w:proofErr w:type="gramStart"/>
      <w:r w:rsidRPr="00703C93">
        <w:t>Хазов</w:t>
      </w:r>
      <w:proofErr w:type="gramEnd"/>
      <w:r w:rsidRPr="00703C93">
        <w:t xml:space="preserve">              </w:t>
      </w:r>
    </w:p>
    <w:p w:rsidR="00111D52" w:rsidRPr="00703C93" w:rsidRDefault="00111D52" w:rsidP="00111D52">
      <w:pPr>
        <w:jc w:val="right"/>
      </w:pPr>
    </w:p>
    <w:p w:rsidR="00111D52" w:rsidRPr="00703C93" w:rsidRDefault="00111D52" w:rsidP="00111D52">
      <w:pPr>
        <w:jc w:val="right"/>
      </w:pPr>
    </w:p>
    <w:p w:rsidR="00111D52" w:rsidRPr="00703C93" w:rsidRDefault="00111D52" w:rsidP="00111D52">
      <w:pPr>
        <w:jc w:val="right"/>
      </w:pPr>
    </w:p>
    <w:p w:rsidR="001815F3" w:rsidRPr="001815F3" w:rsidRDefault="001815F3" w:rsidP="001815F3">
      <w:pPr>
        <w:ind w:firstLine="540"/>
        <w:jc w:val="right"/>
        <w:rPr>
          <w:color w:val="000000"/>
        </w:rPr>
      </w:pPr>
      <w:r w:rsidRPr="001815F3">
        <w:rPr>
          <w:color w:val="000000"/>
        </w:rPr>
        <w:t xml:space="preserve">Приложение № 1 </w:t>
      </w:r>
    </w:p>
    <w:p w:rsidR="001815F3" w:rsidRPr="001815F3" w:rsidRDefault="001815F3" w:rsidP="001815F3">
      <w:pPr>
        <w:ind w:firstLine="540"/>
        <w:jc w:val="right"/>
        <w:rPr>
          <w:color w:val="000000"/>
        </w:rPr>
      </w:pPr>
      <w:r w:rsidRPr="001815F3">
        <w:rPr>
          <w:color w:val="000000"/>
        </w:rPr>
        <w:t>№ ___ от_______18г к</w:t>
      </w:r>
    </w:p>
    <w:p w:rsidR="001815F3" w:rsidRPr="001815F3" w:rsidRDefault="001815F3" w:rsidP="001815F3">
      <w:pPr>
        <w:ind w:firstLine="540"/>
        <w:jc w:val="right"/>
        <w:rPr>
          <w:color w:val="000000"/>
        </w:rPr>
      </w:pPr>
      <w:r>
        <w:rPr>
          <w:color w:val="000000"/>
        </w:rPr>
        <w:t>п</w:t>
      </w:r>
      <w:r w:rsidRPr="001815F3">
        <w:rPr>
          <w:color w:val="000000"/>
        </w:rPr>
        <w:t xml:space="preserve">остановлению администрации </w:t>
      </w:r>
    </w:p>
    <w:p w:rsidR="001815F3" w:rsidRPr="001815F3" w:rsidRDefault="001815F3" w:rsidP="001815F3">
      <w:pPr>
        <w:ind w:firstLine="540"/>
        <w:jc w:val="right"/>
        <w:rPr>
          <w:color w:val="000000"/>
        </w:rPr>
      </w:pPr>
      <w:proofErr w:type="spellStart"/>
      <w:r w:rsidRPr="001815F3">
        <w:rPr>
          <w:color w:val="000000"/>
        </w:rPr>
        <w:t>Камешкирского</w:t>
      </w:r>
      <w:proofErr w:type="spellEnd"/>
      <w:r w:rsidRPr="001815F3">
        <w:rPr>
          <w:color w:val="000000"/>
        </w:rPr>
        <w:t xml:space="preserve"> района</w:t>
      </w:r>
    </w:p>
    <w:p w:rsidR="001815F3" w:rsidRPr="001815F3" w:rsidRDefault="001815F3" w:rsidP="001815F3">
      <w:pPr>
        <w:ind w:firstLine="540"/>
        <w:jc w:val="right"/>
        <w:rPr>
          <w:color w:val="000000"/>
        </w:rPr>
      </w:pPr>
      <w:r w:rsidRPr="001815F3">
        <w:rPr>
          <w:color w:val="000000"/>
        </w:rPr>
        <w:t>Пензенской области</w:t>
      </w:r>
    </w:p>
    <w:p w:rsidR="001815F3" w:rsidRPr="001815F3" w:rsidRDefault="001815F3" w:rsidP="001815F3">
      <w:pPr>
        <w:ind w:firstLine="540"/>
        <w:jc w:val="center"/>
        <w:rPr>
          <w:color w:val="000000"/>
        </w:rPr>
      </w:pPr>
    </w:p>
    <w:p w:rsidR="001815F3" w:rsidRPr="005A5112" w:rsidRDefault="001815F3" w:rsidP="001815F3">
      <w:pPr>
        <w:ind w:firstLine="540"/>
        <w:jc w:val="center"/>
        <w:rPr>
          <w:b/>
          <w:color w:val="000000"/>
        </w:rPr>
      </w:pPr>
      <w:r>
        <w:rPr>
          <w:color w:val="212121"/>
        </w:rPr>
        <w:t>М</w:t>
      </w:r>
      <w:r w:rsidRPr="00111D52">
        <w:rPr>
          <w:color w:val="212121"/>
        </w:rPr>
        <w:t>етодик</w:t>
      </w:r>
      <w:r>
        <w:rPr>
          <w:color w:val="212121"/>
        </w:rPr>
        <w:t>а</w:t>
      </w:r>
      <w:r w:rsidRPr="00111D52">
        <w:rPr>
          <w:color w:val="212121"/>
        </w:rPr>
        <w:t xml:space="preserve"> оценки кредитоспособности Заемщиков –  субъектов малого и среднего предпринимательства </w:t>
      </w:r>
      <w:proofErr w:type="spellStart"/>
      <w:r w:rsidRPr="00111D52">
        <w:rPr>
          <w:color w:val="212121"/>
        </w:rPr>
        <w:t>Камешкирского</w:t>
      </w:r>
      <w:proofErr w:type="spellEnd"/>
      <w:r w:rsidRPr="00111D52">
        <w:rPr>
          <w:color w:val="212121"/>
        </w:rPr>
        <w:t xml:space="preserve"> района Пензенской области</w:t>
      </w:r>
    </w:p>
    <w:p w:rsidR="001815F3" w:rsidRDefault="001815F3" w:rsidP="001815F3">
      <w:pPr>
        <w:ind w:firstLine="540"/>
        <w:jc w:val="center"/>
        <w:rPr>
          <w:b/>
          <w:color w:val="000000"/>
          <w:sz w:val="28"/>
          <w:szCs w:val="28"/>
        </w:rPr>
      </w:pPr>
    </w:p>
    <w:p w:rsidR="001815F3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>Целью проведения оценки кредитоспособности Заемщика  является определение возможности, размера и условий предоставления товарного кредита.</w:t>
      </w:r>
    </w:p>
    <w:p w:rsidR="001815F3" w:rsidRDefault="001815F3" w:rsidP="001815F3">
      <w:pPr>
        <w:ind w:firstLine="540"/>
        <w:jc w:val="both"/>
        <w:rPr>
          <w:color w:val="000000"/>
        </w:rPr>
      </w:pPr>
      <w:r w:rsidRPr="00DA5FE6">
        <w:rPr>
          <w:color w:val="000000"/>
        </w:rPr>
        <w:t>Для определения кредитоспособности Заемщика проводится ко</w:t>
      </w:r>
      <w:r>
        <w:rPr>
          <w:color w:val="000000"/>
        </w:rPr>
        <w:t>личественный (финансовый анализ</w:t>
      </w:r>
      <w:r w:rsidRPr="00DA5FE6">
        <w:rPr>
          <w:color w:val="000000"/>
        </w:rPr>
        <w:t>) и качественный анализ рисков.</w:t>
      </w:r>
    </w:p>
    <w:p w:rsidR="001815F3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>Основными задачами проведения финансового анализа является получение следующих данных:</w:t>
      </w:r>
    </w:p>
    <w:p w:rsidR="001815F3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>- о структуре активов и пассивов предприятия, характеризующих имущественное положение Заемщика;</w:t>
      </w:r>
    </w:p>
    <w:p w:rsidR="001815F3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- об объемах выручки, размерах прибылей (убытков) предприятия для оценки рентабельности и эффективности деятельности Заемщика; </w:t>
      </w:r>
    </w:p>
    <w:p w:rsidR="001815F3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>- о различных направлениях деятельности Заемщика, их доли и степени значимости в общей структуре бизнеса;</w:t>
      </w:r>
    </w:p>
    <w:p w:rsidR="001815F3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>-  о перспективных развитиях деятельности Заемщика;</w:t>
      </w:r>
    </w:p>
    <w:p w:rsidR="001815F3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- о потенциально возможных рисках. </w:t>
      </w:r>
    </w:p>
    <w:p w:rsidR="001815F3" w:rsidRPr="00DA5FE6" w:rsidRDefault="001815F3" w:rsidP="001815F3">
      <w:pPr>
        <w:ind w:firstLine="540"/>
        <w:jc w:val="both"/>
        <w:rPr>
          <w:color w:val="000000"/>
        </w:rPr>
      </w:pPr>
      <w:r>
        <w:rPr>
          <w:color w:val="000000"/>
        </w:rPr>
        <w:t>Оценка кредитоспособности Заемщика проводится на основе бухгалтерской отчетности или на основе документов, заменяющих бухгалтерскую отчетность, в случае применения специальных режимов налогообложения</w:t>
      </w:r>
      <w:r w:rsidRPr="0037521E">
        <w:rPr>
          <w:color w:val="000000"/>
        </w:rPr>
        <w:t xml:space="preserve"> </w:t>
      </w:r>
      <w:r w:rsidRPr="00164F5D">
        <w:t xml:space="preserve">за </w:t>
      </w:r>
      <w:r>
        <w:t>4 (Четыре)</w:t>
      </w:r>
      <w:r w:rsidRPr="00164F5D">
        <w:t xml:space="preserve"> последних отчетных </w:t>
      </w:r>
      <w:r>
        <w:t>периода.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center"/>
        <w:rPr>
          <w:rStyle w:val="apple-style-span"/>
          <w:b/>
          <w:color w:val="000000"/>
        </w:rPr>
      </w:pPr>
    </w:p>
    <w:p w:rsidR="001815F3" w:rsidRPr="00BD3A30" w:rsidRDefault="001815F3" w:rsidP="001815F3">
      <w:pPr>
        <w:pStyle w:val="a3"/>
        <w:spacing w:before="0" w:beforeAutospacing="0" w:after="0" w:afterAutospacing="0"/>
        <w:ind w:left="300" w:right="150" w:firstLine="540"/>
        <w:jc w:val="center"/>
        <w:rPr>
          <w:b/>
          <w:color w:val="000000"/>
        </w:rPr>
      </w:pPr>
      <w:r w:rsidRPr="00BD3A30">
        <w:rPr>
          <w:rStyle w:val="apple-style-span"/>
          <w:b/>
          <w:color w:val="000000"/>
        </w:rPr>
        <w:t>1. Оценка финансового состояния Заемщика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Оценка финансового состояния Заемщика производится с учетом тенденций в изменении финансового состояния и факторов, влияющих на эти изменения.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Необходимо проанализировать динамику оценочных показателей, структуру статей баланса, качество активов, основные направления хозяйственно-финансовой политики предприятия.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1.1. Для оценки финансового состояния Заемщика используются три группы оценочных показателей: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- коэффициенты ликвидности;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- коэффициент соотношения собственных и заемных средств;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- показатели оборачиваемости и рентабельности.</w:t>
      </w:r>
    </w:p>
    <w:p w:rsidR="001815F3" w:rsidRPr="00DA5FE6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1</w:t>
      </w:r>
      <w:r w:rsidRPr="00DA5FE6">
        <w:rPr>
          <w:color w:val="000000"/>
        </w:rPr>
        <w:t>.2. Коэффициенты ликвидности.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 Характеризуют обеспеченность предприятия оборотными средствами для ведения хозяйственной деятельности и своевременного погашения срочных обязательств.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Коэффициент абсолютной ликвидности К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 - характеризует способность к моментальному погашению долговых обязательств и определяется как отношение денежных средств и краткосрочных финансовых вложений к наиболее срочным обязательствам предприятия в виде краткосрочных кредитов банков, краткосрочных займов и различных кредиторских задолженностей: </w:t>
      </w:r>
      <w:hyperlink r:id="rId7" w:anchor="*(1)_Формулы_расчета_показателей#*(1)_Формулы_расчета_показателей" w:history="1">
        <w:r>
          <w:rPr>
            <w:rStyle w:val="a4"/>
            <w:vertAlign w:val="superscript"/>
          </w:rPr>
          <w:t>*(1)</w:t>
        </w:r>
      </w:hyperlink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        </w:t>
      </w:r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   стр.250 + стр.260 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1</w:t>
      </w:r>
      <w:proofErr w:type="gramEnd"/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= ___________________________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           стр. 610 + стр.620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lastRenderedPageBreak/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Промежуточный коэффициент покрытия К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характеризует способность предприятия оперативно высвободить из хозяйственного оборота денежные средства и погасить долговые обязательства. К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определяется как отношение: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</w:t>
      </w:r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стр.260 + стр.250 + стр.240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2</w:t>
      </w:r>
      <w:proofErr w:type="gramEnd"/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= _________________________________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стр. 610 + стр.620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Для расчета этого коэффициента предварительно производится оценка групп статей "краткосрочные финансовые вложения" и "дебиторская задолженность (платежи по которой ожидаются в течение 12 месяцев после отчетной даты)". Указанные статьи уменьшаются на сумму финансовых вложений в неликвидные активы и неплатежеспособные предприятия и сумму безнадежной дебиторской задолженности соответственно.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Коэффициент текущей ликвидности (общий коэффициент покрытия) К3 является обобщающим показателем платежеспособности предприятия, в расчет которого в числителе включаются все оборотные активы, в том числе и материальные (итог раздела II баланса):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              </w:t>
      </w:r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Раз.II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(стр.290)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К3</w:t>
      </w:r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= _________________________________________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            </w:t>
      </w:r>
      <w:r>
        <w:rPr>
          <w:rStyle w:val="apple-converted-space"/>
          <w:rFonts w:ascii="Courier New" w:hAnsi="Courier New" w:cs="Courier New"/>
          <w:color w:val="000000"/>
          <w:sz w:val="20"/>
          <w:szCs w:val="20"/>
        </w:rPr>
        <w:t> 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Раз.V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(стр.690)-(стр.640 + стр.650)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Для расчета К3 предварительно корректируются уже названные группы статей баланса, а также "дебиторская задолженность (платежи по которой ожидаются более чем через 12 месяцев)", "запасы" и "прочие оборотные активы" на сумму соответственно безнадежной дебиторской задолженности, неликвидных и труднореализуемых запасов и затрат.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 </w:t>
      </w:r>
    </w:p>
    <w:p w:rsidR="001815F3" w:rsidRPr="00114844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 w:rsidRPr="00114844">
        <w:rPr>
          <w:color w:val="000000"/>
        </w:rPr>
        <w:t>1.3. Коэффициент соотношения собственных и заемных средств. </w:t>
      </w:r>
    </w:p>
    <w:p w:rsidR="001815F3" w:rsidRPr="00114844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 w:rsidRPr="00114844">
        <w:rPr>
          <w:color w:val="000000"/>
        </w:rPr>
        <w:t>Коэффициент соотношения собственных и заемных средств К</w:t>
      </w:r>
      <w:proofErr w:type="gramStart"/>
      <w:r w:rsidRPr="00114844">
        <w:rPr>
          <w:color w:val="000000"/>
        </w:rPr>
        <w:t>4</w:t>
      </w:r>
      <w:proofErr w:type="gramEnd"/>
      <w:r w:rsidRPr="00114844">
        <w:rPr>
          <w:color w:val="000000"/>
        </w:rPr>
        <w:t xml:space="preserve"> - является одной из характеристик финансовой устойчивости предприятия и показывает долю собственных средств предприятия в общем объеме средств предприятия. </w:t>
      </w:r>
    </w:p>
    <w:p w:rsidR="001815F3" w:rsidRPr="00114844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 w:rsidRPr="00114844">
        <w:rPr>
          <w:color w:val="000000"/>
        </w:rPr>
        <w:t>Коэффициент К</w:t>
      </w:r>
      <w:proofErr w:type="gramStart"/>
      <w:r w:rsidRPr="00114844">
        <w:rPr>
          <w:color w:val="000000"/>
        </w:rPr>
        <w:t>4</w:t>
      </w:r>
      <w:proofErr w:type="gramEnd"/>
      <w:r w:rsidRPr="00114844">
        <w:rPr>
          <w:color w:val="000000"/>
        </w:rPr>
        <w:t xml:space="preserve"> определяется как отношение собственных средств (итог раздела III баланса, увеличенный на сумму строк 640 –"доходы будущих периодов", и 650 - "резервы предстоящих расходов") ко всей сумме средств предприятия (стр. 700):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rFonts w:ascii="Courier New" w:hAnsi="Courier New" w:cs="Courier New"/>
          <w:color w:val="000000"/>
          <w:sz w:val="20"/>
          <w:szCs w:val="20"/>
        </w:rPr>
      </w:pPr>
      <w:r>
        <w:rPr>
          <w:color w:val="000000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</w:t>
      </w:r>
      <w:r>
        <w:rPr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        Раз.</w:t>
      </w:r>
      <w:r w:rsidRPr="00EF0C96">
        <w:rPr>
          <w:color w:val="000000"/>
          <w:sz w:val="20"/>
          <w:szCs w:val="20"/>
        </w:rPr>
        <w:t xml:space="preserve"> III</w:t>
      </w:r>
      <w:r>
        <w:rPr>
          <w:color w:val="00000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(стр.490) + стр.640 + стр.650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4</w:t>
      </w:r>
      <w:proofErr w:type="gramEnd"/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=</w:t>
      </w:r>
      <w:r>
        <w:rPr>
          <w:rStyle w:val="apple-converted-space"/>
          <w:rFonts w:ascii="Courier New" w:hAnsi="Courier New" w:cs="Courier New"/>
          <w:color w:val="000000"/>
          <w:sz w:val="20"/>
          <w:szCs w:val="20"/>
          <w:lang w:val="en-US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стр. 700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</w:p>
    <w:p w:rsidR="001815F3" w:rsidRPr="00114844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 w:rsidRPr="00114844">
        <w:rPr>
          <w:color w:val="000000"/>
        </w:rPr>
        <w:t>1.4. Показатели оборачиваемости и рентабельности.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 Оборачиваемость разных элементов оборотных активов и кредиторской задолженности рассчитывается в днях исходя из объема дневных продаж (однодневной выручки от реализации).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Объем дневных продаж рассчитывается делением выручки от реализации на число дней в периоде (90, 180, 270 или 365).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Средние (за период) величины оборотных активов и кредиторской задолженности рассчитываются как половинные суммы величин на начальную и конечную даты периода и полные величины на промежуточные даты, деленные на число слагаемых, уменьшенное на 1.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b/>
          <w:bCs/>
          <w:color w:val="000000"/>
        </w:rPr>
      </w:pP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b/>
          <w:bCs/>
          <w:color w:val="000000"/>
        </w:rPr>
        <w:t>Оборачиваемость оборотных активов:</w:t>
      </w:r>
      <w:r>
        <w:rPr>
          <w:color w:val="000000"/>
        </w:rPr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    средняя стоимость оборотных активов (по стр.290 баланса)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_____________________________________________________________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 объем дневных продаж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lastRenderedPageBreak/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b/>
          <w:bCs/>
          <w:color w:val="000000"/>
        </w:rPr>
        <w:t>Оборачиваемость дебиторской задолженности: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 средняя стоимость дебиторской задолженности (по стр.230 + 240 баланса)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 _______________________________________________________________________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 объем дневных продаж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b/>
          <w:bCs/>
          <w:color w:val="000000"/>
        </w:rPr>
        <w:t>Оборачиваемость запасов: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           средняя стоимость запасов (по стр.210 баланса)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        _________________________________________________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 объем дневных продаж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Аналогично при необходимости могут быть рассчитаны показатели оборачиваемости других элементов оборотных активов (готовой продукции, незавершенного производства, сырья и материалов) и кредиторской задолженности.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Показатели рентабельности определяются в процентах или долях.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b/>
          <w:bCs/>
          <w:color w:val="000000"/>
        </w:rPr>
      </w:pP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b/>
          <w:bCs/>
          <w:color w:val="000000"/>
        </w:rPr>
      </w:pP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b/>
          <w:bCs/>
          <w:color w:val="000000"/>
        </w:rPr>
        <w:t>Рентабельность продукции (или рентабельность продаж)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K5: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   прибыль от продаж              стр.050 формы N 2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_______________________, или К5= 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выручка от реализации             стр.010 формы N 2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b/>
          <w:bCs/>
          <w:color w:val="000000"/>
        </w:rPr>
        <w:t xml:space="preserve">Рентабельность деятельности предприятия </w:t>
      </w:r>
      <w:r>
        <w:rPr>
          <w:color w:val="000000"/>
        </w:rPr>
        <w:t>K6: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  <w:r>
        <w:rPr>
          <w:rFonts w:ascii="Courier New" w:hAnsi="Courier New" w:cs="Courier New"/>
          <w:color w:val="000000"/>
          <w:sz w:val="20"/>
          <w:szCs w:val="20"/>
        </w:rPr>
        <w:t>       чистая прибыль                   стр.190 формы N 2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 ______________________,  или 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6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= _______________________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    выручка от реализации               стр.010 формы N 2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1.5. Основными оценочными показателями являются коэффициенты К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, К2, К3, К4, К5 и К6. Другие показатели оборачиваемости и рентабельности используются для общей характеристики и рассматриваются как дополнительные к первым шести показателям.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 xml:space="preserve">Оценка результатов расчетов шести коэффициентов заключается в присвоении Заемщику категории по каждому из этих показателей на основе сравнения полученных значений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установленными достаточными. Далее определяется сумма баллов по этим показателям в соответствии с их весами.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Достаточные значения показателей: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    К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>    -      0,1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    К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    -      0,8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    К3    -      1,5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    К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>    -      0,4 - для всех Заемщиков, кроме предприятий торговли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               </w:t>
      </w:r>
      <w:r>
        <w:rPr>
          <w:color w:val="000000"/>
          <w:lang w:val="en-US"/>
        </w:rPr>
        <w:t>  </w:t>
      </w:r>
      <w:r>
        <w:rPr>
          <w:rStyle w:val="apple-converted-space"/>
          <w:color w:val="000000"/>
          <w:lang w:val="en-US"/>
        </w:rPr>
        <w:t> </w:t>
      </w:r>
      <w:r>
        <w:rPr>
          <w:color w:val="000000"/>
        </w:rPr>
        <w:t>  0,25 - для предприятий торговли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    К5    -      0,10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    К</w:t>
      </w:r>
      <w:proofErr w:type="gramStart"/>
      <w:r>
        <w:rPr>
          <w:color w:val="000000"/>
        </w:rPr>
        <w:t>6</w:t>
      </w:r>
      <w:proofErr w:type="gramEnd"/>
      <w:r>
        <w:rPr>
          <w:color w:val="000000"/>
        </w:rPr>
        <w:t>    -      0,06 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b/>
          <w:bCs/>
          <w:color w:val="000000"/>
        </w:rPr>
      </w:pP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Таблица №1 - Разбивка показателей на категории в зависимости от их фактических значений: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2337"/>
        <w:gridCol w:w="2337"/>
        <w:gridCol w:w="2338"/>
      </w:tblGrid>
      <w:tr w:rsidR="001815F3" w:rsidRPr="00FB7777" w:rsidTr="00A206F3">
        <w:trPr>
          <w:trHeight w:val="339"/>
        </w:trPr>
        <w:tc>
          <w:tcPr>
            <w:tcW w:w="2411" w:type="dxa"/>
          </w:tcPr>
          <w:p w:rsidR="001815F3" w:rsidRPr="00FB7777" w:rsidRDefault="001815F3" w:rsidP="00A206F3">
            <w:pPr>
              <w:ind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1 категория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2 категория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3 категория</w:t>
            </w:r>
          </w:p>
        </w:tc>
      </w:tr>
      <w:tr w:rsidR="001815F3" w:rsidRPr="00FB7777" w:rsidTr="00A206F3">
        <w:trPr>
          <w:trHeight w:val="232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0,1 и выше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0,05 – 0,1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менее 0,05</w:t>
            </w:r>
          </w:p>
        </w:tc>
      </w:tr>
      <w:tr w:rsidR="001815F3" w:rsidRPr="00FB7777" w:rsidTr="00A206F3">
        <w:trPr>
          <w:trHeight w:val="232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0,8 и выше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0,5 – 0,8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менее 0,5</w:t>
            </w:r>
          </w:p>
        </w:tc>
      </w:tr>
      <w:tr w:rsidR="001815F3" w:rsidRPr="00FB7777" w:rsidTr="00A206F3">
        <w:trPr>
          <w:trHeight w:val="232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К3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1,5 и выше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1,0 – 1,5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менее 1,0</w:t>
            </w:r>
          </w:p>
        </w:tc>
      </w:tr>
      <w:tr w:rsidR="001815F3" w:rsidRPr="00FB7777" w:rsidTr="00A206F3">
        <w:trPr>
          <w:trHeight w:val="232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rPr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15F3" w:rsidRPr="00FB7777" w:rsidTr="00A206F3">
        <w:trPr>
          <w:trHeight w:val="232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lastRenderedPageBreak/>
              <w:t>кроме предприятий торговли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0,4 и выше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0,25 – 0,4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менее 0,25</w:t>
            </w:r>
          </w:p>
        </w:tc>
      </w:tr>
      <w:tr w:rsidR="001815F3" w:rsidRPr="00FB7777" w:rsidTr="00A206F3">
        <w:trPr>
          <w:trHeight w:val="232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предприятия торговли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0,25 и выше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0,15 – 0,25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менее 0,15</w:t>
            </w:r>
          </w:p>
        </w:tc>
      </w:tr>
      <w:tr w:rsidR="001815F3" w:rsidRPr="00FB7777" w:rsidTr="00A206F3">
        <w:trPr>
          <w:trHeight w:val="232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К5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0,10 и выше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менее 0,10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777">
              <w:rPr>
                <w:color w:val="000000"/>
                <w:sz w:val="20"/>
                <w:szCs w:val="20"/>
              </w:rPr>
              <w:t>нерентаб</w:t>
            </w:r>
            <w:proofErr w:type="spellEnd"/>
            <w:r w:rsidRPr="00FB7777">
              <w:rPr>
                <w:color w:val="000000"/>
                <w:sz w:val="20"/>
                <w:szCs w:val="20"/>
              </w:rPr>
              <w:t>.</w:t>
            </w:r>
          </w:p>
        </w:tc>
      </w:tr>
      <w:tr w:rsidR="001815F3" w:rsidRPr="00FB7777" w:rsidTr="00A206F3">
        <w:trPr>
          <w:trHeight w:val="240"/>
        </w:trPr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0,06 и выше</w:t>
            </w:r>
          </w:p>
        </w:tc>
        <w:tc>
          <w:tcPr>
            <w:tcW w:w="241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менее 0,06</w:t>
            </w:r>
          </w:p>
        </w:tc>
        <w:tc>
          <w:tcPr>
            <w:tcW w:w="2412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B7777">
              <w:rPr>
                <w:color w:val="000000"/>
                <w:sz w:val="20"/>
                <w:szCs w:val="20"/>
              </w:rPr>
              <w:t>нерентаб</w:t>
            </w:r>
            <w:proofErr w:type="spellEnd"/>
            <w:r w:rsidRPr="00FB7777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b/>
          <w:bCs/>
          <w:color w:val="000000"/>
        </w:rPr>
      </w:pP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b/>
          <w:bCs/>
          <w:color w:val="000000"/>
        </w:rPr>
      </w:pPr>
      <w:r>
        <w:rPr>
          <w:b/>
          <w:bCs/>
          <w:color w:val="000000"/>
        </w:rPr>
        <w:t>Таблица №2 -  расчет суммы баллов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2034"/>
        <w:gridCol w:w="1922"/>
        <w:gridCol w:w="1946"/>
        <w:gridCol w:w="1502"/>
      </w:tblGrid>
      <w:tr w:rsidR="001815F3" w:rsidRPr="00FB7777" w:rsidTr="00A206F3">
        <w:trPr>
          <w:trHeight w:val="489"/>
        </w:trPr>
        <w:tc>
          <w:tcPr>
            <w:tcW w:w="2035" w:type="dxa"/>
          </w:tcPr>
          <w:p w:rsidR="001815F3" w:rsidRPr="00FB7777" w:rsidRDefault="001815F3" w:rsidP="00A206F3">
            <w:pPr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1815F3" w:rsidRPr="00FB7777" w:rsidRDefault="001815F3" w:rsidP="00A206F3">
            <w:pPr>
              <w:ind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Фактические значения</w:t>
            </w: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Категории</w:t>
            </w: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Вес показателя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b/>
                <w:color w:val="000000"/>
                <w:sz w:val="20"/>
                <w:szCs w:val="20"/>
              </w:rPr>
            </w:pPr>
            <w:r w:rsidRPr="00FB7777">
              <w:rPr>
                <w:b/>
                <w:color w:val="000000"/>
                <w:sz w:val="20"/>
                <w:szCs w:val="20"/>
              </w:rPr>
              <w:t>Расчет суммы баллов</w:t>
            </w:r>
          </w:p>
        </w:tc>
      </w:tr>
      <w:tr w:rsidR="001815F3" w:rsidRPr="00FB7777" w:rsidTr="00A206F3">
        <w:trPr>
          <w:trHeight w:val="222"/>
        </w:trPr>
        <w:tc>
          <w:tcPr>
            <w:tcW w:w="2035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15F3" w:rsidRPr="00FB7777" w:rsidTr="00A206F3">
        <w:trPr>
          <w:trHeight w:val="222"/>
        </w:trPr>
        <w:tc>
          <w:tcPr>
            <w:tcW w:w="2035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15F3" w:rsidRPr="00FB7777" w:rsidTr="00A206F3">
        <w:trPr>
          <w:trHeight w:val="222"/>
        </w:trPr>
        <w:tc>
          <w:tcPr>
            <w:tcW w:w="2035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К3</w:t>
            </w:r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15F3" w:rsidRPr="00FB7777" w:rsidTr="00A206F3">
        <w:trPr>
          <w:trHeight w:val="222"/>
        </w:trPr>
        <w:tc>
          <w:tcPr>
            <w:tcW w:w="2035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15F3" w:rsidRPr="00FB7777" w:rsidTr="00A206F3">
        <w:trPr>
          <w:trHeight w:val="222"/>
        </w:trPr>
        <w:tc>
          <w:tcPr>
            <w:tcW w:w="2035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К5</w:t>
            </w:r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15F3" w:rsidRPr="00FB7777" w:rsidTr="00A206F3">
        <w:trPr>
          <w:trHeight w:val="230"/>
        </w:trPr>
        <w:tc>
          <w:tcPr>
            <w:tcW w:w="2035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К</w:t>
            </w:r>
            <w:proofErr w:type="gramStart"/>
            <w:r w:rsidRPr="00FB7777">
              <w:rPr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15F3" w:rsidRPr="00FB7777" w:rsidTr="00A206F3">
        <w:trPr>
          <w:trHeight w:val="230"/>
        </w:trPr>
        <w:tc>
          <w:tcPr>
            <w:tcW w:w="2035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078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0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  <w:r w:rsidRPr="00FB777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1" w:type="dxa"/>
          </w:tcPr>
          <w:p w:rsidR="001815F3" w:rsidRPr="00FB7777" w:rsidRDefault="001815F3" w:rsidP="00A206F3">
            <w:pPr>
              <w:pStyle w:val="a3"/>
              <w:spacing w:before="0" w:beforeAutospacing="0" w:after="0" w:afterAutospacing="0"/>
              <w:ind w:right="150" w:firstLine="54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Формула расчета суммы баллов S имеет вид:</w:t>
      </w:r>
    </w:p>
    <w:p w:rsidR="001815F3" w:rsidRPr="004A2088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 w:rsidRPr="004A2088">
        <w:rPr>
          <w:color w:val="000000"/>
        </w:rPr>
        <w:t>     S=0,05 х Категория К</w:t>
      </w:r>
      <w:proofErr w:type="gramStart"/>
      <w:r w:rsidRPr="004A2088">
        <w:rPr>
          <w:color w:val="000000"/>
        </w:rPr>
        <w:t>1</w:t>
      </w:r>
      <w:proofErr w:type="gramEnd"/>
      <w:r w:rsidRPr="004A2088">
        <w:rPr>
          <w:color w:val="000000"/>
        </w:rPr>
        <w:t xml:space="preserve"> + 0,1 х Категория К2 + 0,40 х Категория К3 +</w:t>
      </w:r>
    </w:p>
    <w:p w:rsidR="001815F3" w:rsidRPr="004A2088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 w:rsidRPr="004A2088">
        <w:rPr>
          <w:color w:val="000000"/>
        </w:rPr>
        <w:t>     + 0,20 х Категория К</w:t>
      </w:r>
      <w:proofErr w:type="gramStart"/>
      <w:r w:rsidRPr="004A2088">
        <w:rPr>
          <w:color w:val="000000"/>
        </w:rPr>
        <w:t>4</w:t>
      </w:r>
      <w:proofErr w:type="gramEnd"/>
      <w:r w:rsidRPr="004A2088">
        <w:rPr>
          <w:color w:val="000000"/>
        </w:rPr>
        <w:t xml:space="preserve"> + 0,15 х Категория К5 + 0,10*Категория К6. 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Значение S наряду с другими факторами используется для определения класса кредитоспособности Заемщика.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Для остальных показателей третьей группы (оборачиваемость и рентабельность) не устанавливаются оптимальные или критические значения ввиду большой зависимости этих значений от специфики предприятия, отраслевой принадлежности и других конкретных условий.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Оценка результатов расчетов этих показателей основана, главным образом, на сравнении их значений в динамике.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 Устанавливается 3 класса заемщиков: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proofErr w:type="gramStart"/>
      <w:r>
        <w:rPr>
          <w:color w:val="000000"/>
        </w:rPr>
        <w:t>первоклассные</w:t>
      </w:r>
      <w:proofErr w:type="gramEnd"/>
      <w:r>
        <w:rPr>
          <w:color w:val="000000"/>
        </w:rPr>
        <w:t xml:space="preserve"> – предоставление товарного кредита которым не вызывает сомнений;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второго класса – предоставление товарного кредита требует взвешенного подхода;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третьего класса - предоставление товарного кредита связано с повышенным риском.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>Класс кредитоспособности определяется на основе суммы баллов по шести основным показателям, оценки остальных показателей третьей группы и качественного анализа рисков.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  <w:r>
        <w:rPr>
          <w:color w:val="000000"/>
        </w:rPr>
        <w:t>Сумма баллов S влияет на класс кредитоспособности Заемщика следующим образом: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 xml:space="preserve">1 класс кредитоспособности: S = 1,25 и менее.  Обязательное условия отнесения к данному классу является значение коэффициента К5 на уровне, для 1-ого класса кредитоспособности, за исключением предприятий, у которых снижение уровня рентабельности в течение определенных отчетных периодов вызвано спецификой деятельности – сезонностью.  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 xml:space="preserve">2 класс кредитоспособности: значение S находится в диапазоне от 1,25 до 2,35 (включительно). Обязательным условием отнесения к данному классу является значение коэффициента К5 на уровне, установленном не ниже 2-ого класса кредитоспособности,  за исключением предприятий, у которых снижение уровня рентабельности в течение определенных отчетных периодов вызвано спецификой деятельности – сезонностью.  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t xml:space="preserve">3 класс кредитоспособности: значение S больше 2,35. 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r>
        <w:rPr>
          <w:color w:val="000000"/>
        </w:rPr>
        <w:lastRenderedPageBreak/>
        <w:t>Далее определенный таким образом предварительный класс кредитоспособности корректируется с учетом других показателей третьей группы и качественной оценки Заемщика. При отрицательном влиянии этих факторов класс кредитоспособности может быть снижен на один класс.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jc w:val="center"/>
        <w:rPr>
          <w:b/>
          <w:color w:val="000000"/>
        </w:rPr>
      </w:pPr>
      <w:r w:rsidRPr="00BD3A30">
        <w:rPr>
          <w:b/>
          <w:color w:val="000000"/>
        </w:rPr>
        <w:t>2. Качественный анализ Заемщика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jc w:val="both"/>
        <w:rPr>
          <w:color w:val="000000"/>
        </w:rPr>
      </w:pPr>
      <w:r w:rsidRPr="00BD3A30">
        <w:rPr>
          <w:color w:val="000000"/>
        </w:rPr>
        <w:t>2.1.Качественный анализ Заемщика основан на использовании информации, которая не может быть выражена в количественных показателях. Для проведения такого анализа используются сведения, представленные Заемщиком, службой безопасности и информация базы данных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jc w:val="both"/>
        <w:rPr>
          <w:color w:val="000000"/>
        </w:rPr>
      </w:pPr>
      <w:r w:rsidRPr="00BD3A30">
        <w:rPr>
          <w:color w:val="000000"/>
        </w:rPr>
        <w:t> 2.2. На этом этапе оцениваются риски: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2.2.1. отраслевые: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состояние рынка по отрасли;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тенденции в развитии конкуренции;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уровень государственной поддержки;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значимость предприятия в масштабах региона;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риск недобросовестной конкуренции со стороны других банков;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 2.2.2. акционерные: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риск передела акционерного капитала;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согласованность позиций крупных акционеров;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 2.2.3. регулирования деятельности предприятия: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подчиненность (внешняя финансовая структура);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формальное и неформальное регулирование деятельности;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лицензирование деятельности;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льготы и риски их отмены;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риски штрафов и санкций;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правоприменительные риски (возможность изменения в законодательной и нормативной базе);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 2.2.4. производственные и управленческие: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технологический уровень производства;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риски снабженческой инфраструктуры (изменение цен поставщиков, срыв поставок и т.д.);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риски, связанные с банками, в которых открыты счета;</w:t>
      </w: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деловая репутация (аккуратность в выполнении обязательств, кредитная история, участие в крупных проектах, качество товаров и услуг и т.д.);</w:t>
      </w:r>
    </w:p>
    <w:p w:rsidR="001815F3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  <w:r w:rsidRPr="00BD3A30">
        <w:rPr>
          <w:color w:val="000000"/>
        </w:rPr>
        <w:t>- качество управления (квалификация, устойчивость положения руководства, адаптивность к новым методам управления и технологиям, влиятельность в деловых и финансовых кругах).</w:t>
      </w:r>
    </w:p>
    <w:p w:rsidR="001815F3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</w:p>
    <w:p w:rsidR="001815F3" w:rsidRPr="00BD3A30" w:rsidRDefault="001815F3" w:rsidP="001815F3">
      <w:pPr>
        <w:pStyle w:val="a3"/>
        <w:spacing w:before="0" w:beforeAutospacing="0" w:after="0" w:afterAutospacing="0"/>
        <w:ind w:left="301" w:right="147" w:firstLine="540"/>
        <w:rPr>
          <w:color w:val="000000"/>
        </w:rPr>
      </w:pPr>
    </w:p>
    <w:p w:rsidR="001815F3" w:rsidRPr="00BD3A30" w:rsidRDefault="001815F3" w:rsidP="001815F3">
      <w:pPr>
        <w:pStyle w:val="a3"/>
        <w:pBdr>
          <w:bottom w:val="single" w:sz="6" w:space="1" w:color="auto"/>
        </w:pBdr>
        <w:spacing w:before="0" w:beforeAutospacing="0" w:after="0" w:afterAutospacing="0"/>
        <w:ind w:left="300" w:right="150" w:firstLine="540"/>
        <w:rPr>
          <w:color w:val="000000"/>
        </w:rPr>
      </w:pPr>
    </w:p>
    <w:p w:rsidR="001815F3" w:rsidRPr="00BD3A30" w:rsidRDefault="001815F3" w:rsidP="001815F3">
      <w:pPr>
        <w:pStyle w:val="a3"/>
        <w:spacing w:before="0" w:beforeAutospacing="0" w:after="0" w:afterAutospacing="0"/>
        <w:ind w:left="300" w:right="150" w:firstLine="540"/>
        <w:jc w:val="both"/>
        <w:rPr>
          <w:color w:val="000000"/>
        </w:rPr>
      </w:pPr>
      <w:bookmarkStart w:id="1" w:name="*(1)_Формулы_расчета_показателей"/>
      <w:r w:rsidRPr="00BD3A30">
        <w:rPr>
          <w:color w:val="000000"/>
          <w:vertAlign w:val="superscript"/>
        </w:rPr>
        <w:t>*(1)</w:t>
      </w:r>
      <w:r w:rsidRPr="00BD3A30">
        <w:rPr>
          <w:rStyle w:val="apple-converted-space"/>
          <w:color w:val="000000"/>
        </w:rPr>
        <w:t> </w:t>
      </w:r>
      <w:r w:rsidRPr="00BD3A30">
        <w:rPr>
          <w:color w:val="000000"/>
        </w:rPr>
        <w:t>Формулы расчета показателей</w:t>
      </w:r>
      <w:bookmarkEnd w:id="1"/>
      <w:r w:rsidRPr="00BD3A30">
        <w:rPr>
          <w:rStyle w:val="apple-converted-space"/>
          <w:color w:val="000000"/>
        </w:rPr>
        <w:t> </w:t>
      </w:r>
      <w:r w:rsidRPr="00BD3A30">
        <w:rPr>
          <w:color w:val="000000"/>
        </w:rPr>
        <w:t>даны применительно к формам годовой бухгалтерской отчетности, утвержденным Приказом Минфина России от 22.07.2003 N 67</w:t>
      </w:r>
      <w:r>
        <w:rPr>
          <w:color w:val="000000"/>
        </w:rPr>
        <w:t>н</w:t>
      </w:r>
      <w:r w:rsidRPr="00BD3A30">
        <w:rPr>
          <w:color w:val="000000"/>
        </w:rPr>
        <w:t>.</w:t>
      </w:r>
      <w:r>
        <w:rPr>
          <w:color w:val="000000"/>
        </w:rPr>
        <w:t xml:space="preserve"> Начиная с годовой бухгалтерской отчетности за 2011 год согласно Приказу Минфина России от 02.07.2010г. №66н следует использовать новые формы бухгалтерской отчетности</w:t>
      </w:r>
    </w:p>
    <w:p w:rsidR="001815F3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</w:p>
    <w:p w:rsidR="001815F3" w:rsidRPr="00DA5FE6" w:rsidRDefault="001815F3" w:rsidP="001815F3">
      <w:pPr>
        <w:pStyle w:val="a3"/>
        <w:spacing w:before="0" w:beforeAutospacing="0" w:after="0" w:afterAutospacing="0"/>
        <w:ind w:left="300" w:right="150" w:firstLine="540"/>
        <w:rPr>
          <w:color w:val="000000"/>
        </w:rPr>
      </w:pPr>
    </w:p>
    <w:p w:rsidR="00111D52" w:rsidRDefault="00111D52" w:rsidP="00111D52"/>
    <w:p w:rsidR="00111D52" w:rsidRDefault="00111D52"/>
    <w:sectPr w:rsidR="00111D52" w:rsidSect="00EF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D52"/>
    <w:rsid w:val="00111D52"/>
    <w:rsid w:val="001815F3"/>
    <w:rsid w:val="00F1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15F3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1815F3"/>
  </w:style>
  <w:style w:type="character" w:customStyle="1" w:styleId="apple-converted-space">
    <w:name w:val="apple-converted-space"/>
    <w:basedOn w:val="a0"/>
    <w:rsid w:val="001815F3"/>
  </w:style>
  <w:style w:type="character" w:styleId="a4">
    <w:name w:val="Hyperlink"/>
    <w:rsid w:val="001815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jurist.nm.ru/doc_sbrf/sbrf_reglament_kredit_yur_08_12_1997_pril_8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DA6D-4890-4145-AA7E-2BA0AE48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2018-10-18T07:00:00Z</cp:lastPrinted>
  <dcterms:created xsi:type="dcterms:W3CDTF">2018-10-24T06:08:00Z</dcterms:created>
  <dcterms:modified xsi:type="dcterms:W3CDTF">2018-11-06T07:21:00Z</dcterms:modified>
</cp:coreProperties>
</file>