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F2" w:rsidRDefault="002A0CF2" w:rsidP="002A0CF2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2A0CF2" w:rsidRDefault="002A0CF2" w:rsidP="002A0CF2"/>
    <w:p w:rsidR="002A0CF2" w:rsidRDefault="002A0CF2" w:rsidP="002A0CF2">
      <w:r>
        <w:rPr>
          <w:noProof/>
        </w:rPr>
        <w:drawing>
          <wp:anchor distT="0" distB="0" distL="114300" distR="114300" simplePos="0" relativeHeight="251659264" behindDoc="0" locked="0" layoutInCell="1" allowOverlap="1" wp14:anchorId="7554A90D" wp14:editId="4BE640B2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CF2" w:rsidRDefault="002A0CF2" w:rsidP="002A0CF2"/>
    <w:p w:rsidR="002A0CF2" w:rsidRDefault="002A0CF2" w:rsidP="002A0CF2"/>
    <w:p w:rsidR="002A0CF2" w:rsidRDefault="002A0CF2" w:rsidP="002A0CF2"/>
    <w:p w:rsidR="002A0CF2" w:rsidRDefault="002A0CF2" w:rsidP="002A0CF2"/>
    <w:p w:rsidR="002A0CF2" w:rsidRDefault="002A0CF2" w:rsidP="002A0CF2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A0CF2" w:rsidTr="00341E3D">
        <w:trPr>
          <w:trHeight w:val="397"/>
        </w:trPr>
        <w:tc>
          <w:tcPr>
            <w:tcW w:w="9606" w:type="dxa"/>
          </w:tcPr>
          <w:p w:rsidR="002A0CF2" w:rsidRDefault="002A0CF2" w:rsidP="00341E3D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2A0CF2" w:rsidTr="00341E3D">
        <w:trPr>
          <w:trHeight w:val="875"/>
        </w:trPr>
        <w:tc>
          <w:tcPr>
            <w:tcW w:w="9606" w:type="dxa"/>
            <w:hideMark/>
          </w:tcPr>
          <w:p w:rsidR="002A0CF2" w:rsidRDefault="002A0CF2" w:rsidP="00341E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A0CF2" w:rsidRDefault="002A0CF2" w:rsidP="00341E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2A0CF2" w:rsidTr="00341E3D">
        <w:trPr>
          <w:trHeight w:val="397"/>
        </w:trPr>
        <w:tc>
          <w:tcPr>
            <w:tcW w:w="9606" w:type="dxa"/>
            <w:hideMark/>
          </w:tcPr>
          <w:p w:rsidR="002A0CF2" w:rsidRDefault="002A0CF2" w:rsidP="00341E3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2A0CF2" w:rsidTr="00341E3D">
        <w:tc>
          <w:tcPr>
            <w:tcW w:w="9606" w:type="dxa"/>
            <w:hideMark/>
          </w:tcPr>
          <w:p w:rsidR="002A0CF2" w:rsidRDefault="002A0CF2" w:rsidP="00341E3D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A0CF2" w:rsidTr="00341E3D">
        <w:trPr>
          <w:trHeight w:val="340"/>
        </w:trPr>
        <w:tc>
          <w:tcPr>
            <w:tcW w:w="9606" w:type="dxa"/>
            <w:vAlign w:val="center"/>
          </w:tcPr>
          <w:p w:rsidR="002A0CF2" w:rsidRDefault="002A0CF2" w:rsidP="00341E3D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2A0CF2" w:rsidRPr="00C46847" w:rsidRDefault="002A0CF2" w:rsidP="002A0CF2">
      <w:pPr>
        <w:jc w:val="center"/>
        <w:rPr>
          <w:sz w:val="20"/>
          <w:szCs w:val="20"/>
        </w:rPr>
      </w:pPr>
    </w:p>
    <w:p w:rsidR="002A0CF2" w:rsidRPr="00C46847" w:rsidRDefault="002A0CF2" w:rsidP="002A0CF2">
      <w:pPr>
        <w:spacing w:line="192" w:lineRule="auto"/>
        <w:jc w:val="center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A0CF2" w:rsidRPr="00C46847" w:rsidTr="00341E3D">
        <w:tc>
          <w:tcPr>
            <w:tcW w:w="284" w:type="dxa"/>
            <w:vAlign w:val="bottom"/>
            <w:hideMark/>
          </w:tcPr>
          <w:p w:rsidR="002A0CF2" w:rsidRPr="00C46847" w:rsidRDefault="002A0CF2" w:rsidP="00341E3D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A0CF2" w:rsidRPr="00C46847" w:rsidRDefault="00E60B78" w:rsidP="00341E3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30.12.2025</w:t>
            </w:r>
          </w:p>
        </w:tc>
        <w:tc>
          <w:tcPr>
            <w:tcW w:w="397" w:type="dxa"/>
            <w:hideMark/>
          </w:tcPr>
          <w:p w:rsidR="002A0CF2" w:rsidRPr="00C46847" w:rsidRDefault="002A0CF2" w:rsidP="00341E3D">
            <w:pPr>
              <w:spacing w:line="276" w:lineRule="auto"/>
              <w:jc w:val="center"/>
              <w:rPr>
                <w:lang w:eastAsia="en-US"/>
              </w:rPr>
            </w:pPr>
            <w:r w:rsidRPr="00C46847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A0CF2" w:rsidRPr="00C46847" w:rsidRDefault="00E60B78" w:rsidP="00341E3D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482</w:t>
            </w:r>
          </w:p>
        </w:tc>
      </w:tr>
      <w:tr w:rsidR="002A0CF2" w:rsidTr="00341E3D">
        <w:tc>
          <w:tcPr>
            <w:tcW w:w="4650" w:type="dxa"/>
            <w:gridSpan w:val="4"/>
            <w:hideMark/>
          </w:tcPr>
          <w:p w:rsidR="002A0CF2" w:rsidRDefault="002A0CF2" w:rsidP="00341E3D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A0CF2" w:rsidRDefault="002A0CF2" w:rsidP="00341E3D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2A0CF2" w:rsidRDefault="002A0CF2" w:rsidP="002A0CF2"/>
    <w:p w:rsidR="002A0CF2" w:rsidRPr="002F6444" w:rsidRDefault="002A0CF2" w:rsidP="002A0CF2">
      <w:pPr>
        <w:jc w:val="both"/>
        <w:rPr>
          <w:b/>
          <w:sz w:val="28"/>
          <w:szCs w:val="28"/>
        </w:rPr>
      </w:pPr>
      <w:r w:rsidRPr="002F6444">
        <w:rPr>
          <w:sz w:val="28"/>
          <w:szCs w:val="28"/>
        </w:rPr>
        <w:t xml:space="preserve">  </w:t>
      </w:r>
      <w:r w:rsidRPr="002F6444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F6444">
        <w:rPr>
          <w:b/>
          <w:sz w:val="28"/>
          <w:szCs w:val="28"/>
        </w:rPr>
        <w:t>Камешкирского</w:t>
      </w:r>
      <w:proofErr w:type="spellEnd"/>
      <w:r w:rsidRPr="002F6444">
        <w:rPr>
          <w:b/>
          <w:sz w:val="28"/>
          <w:szCs w:val="28"/>
        </w:rPr>
        <w:t xml:space="preserve"> района Пензенской области </w:t>
      </w:r>
      <w:r w:rsidRPr="002F6444">
        <w:rPr>
          <w:b/>
          <w:bCs/>
          <w:color w:val="000000"/>
          <w:sz w:val="28"/>
          <w:szCs w:val="28"/>
        </w:rPr>
        <w:t>от 01.11.2024 № 385</w:t>
      </w:r>
      <w:r w:rsidRPr="002F644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 w:rsidRPr="002F6444">
        <w:rPr>
          <w:b/>
          <w:bCs/>
          <w:color w:val="000000"/>
          <w:sz w:val="28"/>
          <w:szCs w:val="28"/>
        </w:rPr>
        <w:t xml:space="preserve">б оплате труда работников органов местного самоуправления </w:t>
      </w:r>
      <w:proofErr w:type="spellStart"/>
      <w:r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/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Pr="002F6444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 w:rsidRPr="002F6444">
        <w:rPr>
          <w:b/>
          <w:sz w:val="28"/>
          <w:szCs w:val="28"/>
        </w:rPr>
        <w:t>»</w:t>
      </w:r>
    </w:p>
    <w:p w:rsidR="002A0CF2" w:rsidRDefault="002A0CF2" w:rsidP="002A0CF2">
      <w:pPr>
        <w:rPr>
          <w:sz w:val="28"/>
          <w:szCs w:val="28"/>
        </w:rPr>
      </w:pPr>
    </w:p>
    <w:p w:rsidR="002A0CF2" w:rsidRDefault="002A0CF2" w:rsidP="002A0C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A0CF2" w:rsidRDefault="002A0CF2" w:rsidP="002A0CF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A0CF2" w:rsidRDefault="002A0CF2" w:rsidP="002A0CF2"/>
    <w:p w:rsidR="002A0CF2" w:rsidRDefault="002A0CF2" w:rsidP="002A0C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2F6444">
        <w:rPr>
          <w:bCs/>
          <w:color w:val="000000"/>
          <w:sz w:val="28"/>
          <w:szCs w:val="28"/>
        </w:rPr>
        <w:t>от 01.11.2024 № 385</w:t>
      </w:r>
      <w:r w:rsidRPr="002F6444">
        <w:rPr>
          <w:sz w:val="28"/>
          <w:szCs w:val="28"/>
        </w:rPr>
        <w:t xml:space="preserve"> «</w:t>
      </w:r>
      <w:r w:rsidRPr="002F6444">
        <w:rPr>
          <w:bCs/>
          <w:color w:val="000000"/>
          <w:sz w:val="28"/>
          <w:szCs w:val="28"/>
        </w:rPr>
        <w:t xml:space="preserve">Об оплате труда работников органов местного самоуправления </w:t>
      </w:r>
      <w:proofErr w:type="spellStart"/>
      <w:r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 </w:t>
      </w:r>
      <w:proofErr w:type="spellStart"/>
      <w:r w:rsidRPr="002F6444">
        <w:rPr>
          <w:bCs/>
          <w:color w:val="000000"/>
          <w:sz w:val="28"/>
          <w:szCs w:val="28"/>
        </w:rPr>
        <w:t>Камешкирского</w:t>
      </w:r>
      <w:proofErr w:type="spellEnd"/>
      <w:r w:rsidRPr="002F6444">
        <w:rPr>
          <w:bCs/>
          <w:color w:val="000000"/>
          <w:sz w:val="28"/>
          <w:szCs w:val="28"/>
        </w:rPr>
        <w:t xml:space="preserve"> района Пензенской области</w:t>
      </w:r>
      <w:r w:rsidRPr="002F644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(далее-постановление) следующее изменение, а именно:</w:t>
      </w:r>
    </w:p>
    <w:p w:rsidR="002A0CF2" w:rsidRDefault="002A0CF2" w:rsidP="002A0CF2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изложить в следующей редакции: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5011"/>
        <w:gridCol w:w="4075"/>
      </w:tblGrid>
      <w:tr w:rsidR="002A0CF2" w:rsidRPr="002F6444" w:rsidTr="00341E3D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№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 xml:space="preserve">Должностной оклад </w:t>
            </w:r>
            <w:r w:rsidRPr="002F6444">
              <w:rPr>
                <w:sz w:val="28"/>
                <w:szCs w:val="28"/>
              </w:rPr>
              <w:lastRenderedPageBreak/>
              <w:t>(рублей в месяц)</w:t>
            </w:r>
          </w:p>
        </w:tc>
      </w:tr>
      <w:tr w:rsidR="002A0CF2" w:rsidRPr="002F6444" w:rsidTr="00341E3D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аналитик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</w:t>
            </w:r>
          </w:p>
        </w:tc>
      </w:tr>
      <w:tr w:rsidR="002A0CF2" w:rsidRPr="002F6444" w:rsidTr="00341E3D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9456AF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Ведущий 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9456AF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8817</w:t>
            </w:r>
          </w:p>
        </w:tc>
      </w:tr>
      <w:tr w:rsidR="002A0CF2" w:rsidRPr="002F6444" w:rsidTr="00341E3D">
        <w:trPr>
          <w:jc w:val="center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2</w:t>
            </w:r>
          </w:p>
        </w:tc>
        <w:tc>
          <w:tcPr>
            <w:tcW w:w="2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 w:rsidRPr="002F6444">
              <w:rPr>
                <w:sz w:val="28"/>
                <w:szCs w:val="28"/>
              </w:rPr>
              <w:t>Эксперт</w:t>
            </w:r>
          </w:p>
        </w:tc>
        <w:tc>
          <w:tcPr>
            <w:tcW w:w="21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CF2" w:rsidRPr="002F6444" w:rsidRDefault="002A0CF2" w:rsidP="00341E3D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7687</w:t>
            </w:r>
          </w:p>
        </w:tc>
      </w:tr>
    </w:tbl>
    <w:p w:rsidR="002A0CF2" w:rsidRDefault="002A0CF2" w:rsidP="002A0CF2">
      <w:pPr>
        <w:pStyle w:val="a5"/>
        <w:ind w:left="1440"/>
        <w:rPr>
          <w:sz w:val="28"/>
          <w:szCs w:val="28"/>
        </w:rPr>
      </w:pPr>
    </w:p>
    <w:p w:rsidR="002A0CF2" w:rsidRPr="002F6444" w:rsidRDefault="002A0CF2" w:rsidP="002A0CF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6444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2F6444">
        <w:rPr>
          <w:sz w:val="28"/>
          <w:szCs w:val="28"/>
        </w:rPr>
        <w:t>Камешкирский</w:t>
      </w:r>
      <w:proofErr w:type="spellEnd"/>
      <w:r w:rsidRPr="002F6444">
        <w:rPr>
          <w:sz w:val="28"/>
          <w:szCs w:val="28"/>
        </w:rPr>
        <w:t xml:space="preserve"> вестник»</w:t>
      </w:r>
      <w:r w:rsidRPr="002F6444">
        <w:rPr>
          <w:i/>
          <w:sz w:val="28"/>
          <w:szCs w:val="28"/>
        </w:rPr>
        <w:t>.</w:t>
      </w:r>
    </w:p>
    <w:p w:rsidR="002A0CF2" w:rsidRDefault="002A0CF2" w:rsidP="002A0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</w:t>
      </w:r>
      <w:r w:rsidRPr="00751333">
        <w:rPr>
          <w:sz w:val="28"/>
          <w:szCs w:val="28"/>
        </w:rPr>
        <w:t xml:space="preserve"> </w:t>
      </w:r>
      <w:r>
        <w:rPr>
          <w:sz w:val="28"/>
          <w:szCs w:val="28"/>
        </w:rPr>
        <w:t>на следующий день после дня его официального опубликования и распространяется на правоотношения,  возникшие с 01 января 202</w:t>
      </w:r>
      <w:r w:rsidR="00DD071D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2A0CF2" w:rsidRDefault="002A0CF2" w:rsidP="002A0C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2A0CF2" w:rsidRDefault="002A0CF2" w:rsidP="002A0CF2">
      <w:pPr>
        <w:ind w:firstLine="720"/>
        <w:jc w:val="both"/>
        <w:rPr>
          <w:sz w:val="28"/>
          <w:szCs w:val="28"/>
        </w:rPr>
      </w:pPr>
    </w:p>
    <w:p w:rsidR="002A0CF2" w:rsidRDefault="002A0CF2" w:rsidP="002A0CF2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A0CF2" w:rsidRDefault="002A0CF2" w:rsidP="002A0CF2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2A0CF2" w:rsidRDefault="002A0CF2" w:rsidP="002A0CF2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p w:rsidR="002A0CF2" w:rsidRDefault="002A0CF2" w:rsidP="002A0CF2"/>
    <w:p w:rsidR="002A0CF2" w:rsidRDefault="002A0CF2" w:rsidP="002A0CF2"/>
    <w:p w:rsidR="002A0CF2" w:rsidRDefault="002A0CF2" w:rsidP="002A0CF2"/>
    <w:p w:rsidR="00AF03DF" w:rsidRDefault="00AF03DF"/>
    <w:sectPr w:rsidR="00AF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4943"/>
    <w:multiLevelType w:val="multilevel"/>
    <w:tmpl w:val="8A682B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F2"/>
    <w:rsid w:val="002A0CF2"/>
    <w:rsid w:val="00AF03DF"/>
    <w:rsid w:val="00DD071D"/>
    <w:rsid w:val="00E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A0CF2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0C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A0CF2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2A0CF2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CF2"/>
    <w:pPr>
      <w:ind w:left="720"/>
      <w:contextualSpacing/>
    </w:pPr>
  </w:style>
  <w:style w:type="paragraph" w:customStyle="1" w:styleId="ConsPlusNormal">
    <w:name w:val="ConsPlusNormal"/>
    <w:rsid w:val="002A0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A0CF2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A0CF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A0CF2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2A0CF2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0CF2"/>
    <w:pPr>
      <w:ind w:left="720"/>
      <w:contextualSpacing/>
    </w:pPr>
  </w:style>
  <w:style w:type="paragraph" w:customStyle="1" w:styleId="ConsPlusNormal">
    <w:name w:val="ConsPlusNormal"/>
    <w:rsid w:val="002A0C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2026-01-14T04:55:00Z</cp:lastPrinted>
  <dcterms:created xsi:type="dcterms:W3CDTF">2025-12-11T11:28:00Z</dcterms:created>
  <dcterms:modified xsi:type="dcterms:W3CDTF">2026-01-14T04:55:00Z</dcterms:modified>
</cp:coreProperties>
</file>