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</w:t>
      </w:r>
      <w:r w:rsidR="00F12C90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Федеральным </w:t>
      </w:r>
      <w:r>
        <w:rPr>
          <w:sz w:val="28"/>
        </w:rPr>
        <w:t>законом от 06.10.2003 № 131-ФЗ «Об общих принципах организа</w:t>
      </w:r>
      <w:r w:rsidRPr="0035210C">
        <w:rPr>
          <w:sz w:val="28"/>
        </w:rPr>
        <w:t>ции местного самоуправления в Российской Федерации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35210C">
        <w:rPr>
          <w:sz w:val="28"/>
        </w:rPr>
        <w:t xml:space="preserve">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Пензенской области </w:t>
      </w:r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 w:rsidR="00F12C90">
        <w:rPr>
          <w:rFonts w:ascii="Times New Roman" w:hAnsi="Times New Roman" w:cs="Times New Roman"/>
          <w:sz w:val="28"/>
          <w:szCs w:val="24"/>
          <w:lang w:eastAsia="ar-SA"/>
        </w:rPr>
        <w:t>5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</w:t>
      </w:r>
      <w:r w:rsidR="00AC5BB7">
        <w:rPr>
          <w:sz w:val="28"/>
        </w:rPr>
        <w:t>29.11.2023</w:t>
      </w:r>
      <w:r w:rsidRPr="000124BA">
        <w:rPr>
          <w:sz w:val="28"/>
        </w:rPr>
        <w:t xml:space="preserve"> № </w:t>
      </w:r>
      <w:r w:rsidR="00AC5BB7">
        <w:rPr>
          <w:sz w:val="28"/>
        </w:rPr>
        <w:t>424</w:t>
      </w:r>
      <w:r w:rsidRPr="000124BA">
        <w:rPr>
          <w:sz w:val="28"/>
        </w:rPr>
        <w:t xml:space="preserve"> «Об </w:t>
      </w:r>
      <w:r w:rsidRPr="000124BA">
        <w:rPr>
          <w:sz w:val="28"/>
        </w:rPr>
        <w:lastRenderedPageBreak/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 w:rsidR="00F12C90">
        <w:rPr>
          <w:sz w:val="28"/>
        </w:rPr>
        <w:t>4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="00AC5BB7">
        <w:rPr>
          <w:rFonts w:ascii="Times New Roman" w:hAnsi="Times New Roman" w:cs="Times New Roman"/>
          <w:sz w:val="28"/>
        </w:rPr>
        <w:t xml:space="preserve"> местной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Глава 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    </w:t>
      </w:r>
      <w:proofErr w:type="spellStart"/>
      <w:r>
        <w:rPr>
          <w:rFonts w:eastAsia="Arial"/>
          <w:sz w:val="28"/>
          <w:szCs w:val="28"/>
        </w:rPr>
        <w:t>О.Н.Белянина</w:t>
      </w:r>
      <w:proofErr w:type="spellEnd"/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0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 w:rsidR="00F12C90">
        <w:rPr>
          <w:b/>
          <w:sz w:val="28"/>
          <w:szCs w:val="28"/>
        </w:rPr>
        <w:t>5</w:t>
      </w:r>
      <w:r w:rsidRPr="007E3C8C">
        <w:rPr>
          <w:b/>
          <w:sz w:val="28"/>
          <w:szCs w:val="28"/>
        </w:rPr>
        <w:t>год</w:t>
      </w:r>
    </w:p>
    <w:bookmarkEnd w:id="0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 w:rsidR="00F12C90">
        <w:rPr>
          <w:sz w:val="28"/>
          <w:szCs w:val="28"/>
        </w:rPr>
        <w:t>5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C5BB7">
        <w:rPr>
          <w:sz w:val="28"/>
          <w:szCs w:val="28"/>
        </w:rPr>
        <w:t>3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</w:t>
      </w:r>
      <w:r w:rsidR="00F12C9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 w:rsidR="00F12C90">
        <w:rPr>
          <w:sz w:val="28"/>
        </w:rPr>
        <w:t>5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F12C9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 w:rsidR="00F12C90">
              <w:rPr>
                <w:rFonts w:ascii="Times New Roman" w:hAnsi="Times New Roman" w:cs="Times New Roman"/>
              </w:rPr>
              <w:t>5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 w:rsidR="00F12C90">
        <w:rPr>
          <w:sz w:val="28"/>
          <w:szCs w:val="28"/>
        </w:rPr>
        <w:t>5</w:t>
      </w:r>
      <w:bookmarkStart w:id="1" w:name="_GoBack"/>
      <w:bookmarkEnd w:id="1"/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B1" w:rsidRDefault="000A3EB1">
      <w:r>
        <w:separator/>
      </w:r>
    </w:p>
  </w:endnote>
  <w:endnote w:type="continuationSeparator" w:id="0">
    <w:p w:rsidR="000A3EB1" w:rsidRDefault="000A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B1" w:rsidRDefault="000A3EB1">
      <w:r>
        <w:separator/>
      </w:r>
    </w:p>
  </w:footnote>
  <w:footnote w:type="continuationSeparator" w:id="0">
    <w:p w:rsidR="000A3EB1" w:rsidRDefault="000A3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0A3EB1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0A3EB1"/>
    <w:rsid w:val="00292131"/>
    <w:rsid w:val="002A12CD"/>
    <w:rsid w:val="0065075C"/>
    <w:rsid w:val="00AC5BB7"/>
    <w:rsid w:val="00CD15A2"/>
    <w:rsid w:val="00F1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2024-10-21T12:50:00Z</dcterms:created>
  <dcterms:modified xsi:type="dcterms:W3CDTF">2024-11-07T06:25:00Z</dcterms:modified>
</cp:coreProperties>
</file>