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86" w:rsidRPr="001E2F86" w:rsidRDefault="001E2F86" w:rsidP="001E2F8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2"/>
          <w:szCs w:val="36"/>
          <w:lang w:eastAsia="ru-RU"/>
        </w:rPr>
      </w:pPr>
      <w:r w:rsidRPr="001E2F86">
        <w:rPr>
          <w:rFonts w:ascii="Arial" w:eastAsia="Times New Roman" w:hAnsi="Arial" w:cs="Arial"/>
          <w:b/>
          <w:bCs/>
          <w:color w:val="333333"/>
          <w:sz w:val="32"/>
          <w:szCs w:val="36"/>
          <w:lang w:eastAsia="ru-RU"/>
        </w:rPr>
        <w:t>О некоторых вопросах приобретения государственными гражданскими служащими Российской Федерации ценных бумаг в собственность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Министерством труда и социального развития Российской Федерации в рамках реализации полномочий, предусмотренных подпунктами «а, </w:t>
      </w:r>
      <w:proofErr w:type="gram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в</w:t>
      </w:r>
      <w:proofErr w:type="gramEnd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» </w:t>
      </w:r>
      <w:proofErr w:type="gram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пункта</w:t>
      </w:r>
      <w:proofErr w:type="gramEnd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 25 Указа Президента Российской Федерации от 02.04.2013 «О мерах по реализации отдельных положений Федерального закона «О противодействии коррупции» подготовлены методические материалы, касающиеся возможности приобретения государственными гражданскими служащими Российской Федерации ценных бумаг в собственность.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В частности, Минтруд России разъяснил, что служащие вправе приобретать ценные бумаги по договору с брокером или доверительным управляющим, в том числе с помощью индивидуального инвестиционного счета. Однако </w:t>
      </w:r>
      <w:proofErr w:type="spell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необходимообращать</w:t>
      </w:r>
      <w:proofErr w:type="spellEnd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 внимание, чтобы владение ценными бумагами не привело к конфликту интересов или нарушению запрета для ряда чиновников иметь иностранные финансовые инструменты.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Служащие также вправе приобретать облигации федерального займа, за исключением </w:t>
      </w:r>
      <w:proofErr w:type="spell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тех</w:t>
      </w:r>
      <w:proofErr w:type="gram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,к</w:t>
      </w:r>
      <w:proofErr w:type="spellEnd"/>
      <w:proofErr w:type="gramEnd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 полномочиям которых отнесены вопросы регулирования обращения данных ценных бумаг.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Гражданским служащим, которым запрещено приобретать иностранные финансовые инструменты, рекомендовано проверять государственную принадлежность эмитента ценной бумаги. Так, например, субъективное восприятие организации в качестве отечественной не всегда соответствует фактическим обстоятельствам, что может привести к нарушению установленного законом запрета.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Покупка акций не приводит к нарушению запретов на предпринимательскую деятельность и управление организациями. Операции по систематической купле-продаже ценных бумаг не считаются инвестиционной деятельностью.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Кроме того, Минтруд России разъяснил порядок действий в случае возникновения конфликта интересов, связанного с приобретением ценных бумаг. В частности, отмечено, что при возникновении конфликта интересов необходимо уведомить об этом нанимателя по правилам, которые он установил.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Для предотвращения конфликта интересов необходимо передать ценные бумаги в доверительное управление. В качестве мер по урегулированию конфликта интересов также приведены: отвод или самоотвод служащего, изменение его должностного положения, отказ от выгоды, которая стала причиной конфликта интересов.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Обращено внимание, что представитель нанимателя, а также подразделение и (или)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бумаг, поскольку указанное требование не будет основано на законе и, как следствие, будет являться неправомерным.</w:t>
      </w:r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Отмечено, что гражданский служащий вправе использовать банковские услуги, при которых происходит автоматическое инвестирование принадлежащих гражданскому служащему денежных средств в инвестиционные портфели </w:t>
      </w:r>
      <w:proofErr w:type="spell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банка</w:t>
      </w:r>
      <w:proofErr w:type="gram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.П</w:t>
      </w:r>
      <w:proofErr w:type="gramEnd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ри</w:t>
      </w:r>
      <w:proofErr w:type="spellEnd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 xml:space="preserve"> этом в целях </w:t>
      </w: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lastRenderedPageBreak/>
        <w:t xml:space="preserve">исключения возможности нарушения запрета, предусмотренного Федеральным законом от 07.05.2013 № 79-ФЗ«О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proofErr w:type="gramStart"/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Федерации, владеть и (или) пользоваться иностранными финансовыми инструментами», а также предупреждения ситуаций, при которых инвестирование в такие активы может привести к конфликту интересов, рекомендовано подробно изучать информацию об активах, задействованных в инвестиционных портфелях банка, и своевременно принимать меры по исключению возможности нарушения законодательства Российской Федерации о противодействии коррупции, в том числе принимать своевременные меры по предотвращению и урегулированию конфликта интересов.</w:t>
      </w:r>
      <w:proofErr w:type="gramEnd"/>
    </w:p>
    <w:p w:rsidR="001E2F86" w:rsidRPr="001E2F86" w:rsidRDefault="001E2F86" w:rsidP="001E2F8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1E2F86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При наличии сомнений относительно квалификации ситуации как возникновение или возможность возникновения конфликта интересов в случае владения ценными бумагами рекомендуется направить представителю нанимателя уведомление.</w:t>
      </w:r>
    </w:p>
    <w:p w:rsidR="001826CF" w:rsidRDefault="002F2647" w:rsidP="001826C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Статью подготовил</w:t>
      </w:r>
      <w:r w:rsidR="001E2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заместитель</w:t>
      </w:r>
      <w:r w:rsidR="002C6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прокурор</w:t>
      </w:r>
      <w:r w:rsidR="001E2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18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8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Камешкирского</w:t>
      </w:r>
      <w:proofErr w:type="spellEnd"/>
      <w:r w:rsidR="0018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</w:p>
    <w:p w:rsidR="00506A30" w:rsidRPr="00546A91" w:rsidRDefault="001E2F86" w:rsidP="00546A91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Петровичева К.А</w:t>
      </w:r>
      <w:bookmarkStart w:id="0" w:name="_GoBack"/>
      <w:bookmarkEnd w:id="0"/>
      <w:r w:rsidR="00EC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506A30" w:rsidRPr="0054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AF"/>
    <w:rsid w:val="001826CF"/>
    <w:rsid w:val="001E2F86"/>
    <w:rsid w:val="00202951"/>
    <w:rsid w:val="002425AF"/>
    <w:rsid w:val="002C6122"/>
    <w:rsid w:val="002F2647"/>
    <w:rsid w:val="003C1EDE"/>
    <w:rsid w:val="00506A30"/>
    <w:rsid w:val="00546A91"/>
    <w:rsid w:val="00587BCB"/>
    <w:rsid w:val="00814EBD"/>
    <w:rsid w:val="009B427E"/>
    <w:rsid w:val="00E70332"/>
    <w:rsid w:val="00EC193A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44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1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57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6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2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6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45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7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6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68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3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8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5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8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5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9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9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4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9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09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2022-10-26T12:25:00Z</dcterms:created>
  <dcterms:modified xsi:type="dcterms:W3CDTF">2022-10-26T12:25:00Z</dcterms:modified>
</cp:coreProperties>
</file>