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EF" w:rsidRDefault="00526FEF" w:rsidP="00526FEF">
      <w:pPr>
        <w:autoSpaceDE w:val="0"/>
        <w:autoSpaceDN w:val="0"/>
        <w:adjustRightInd w:val="0"/>
      </w:pPr>
      <w:r>
        <w:tab/>
      </w:r>
      <w:r>
        <w:tab/>
      </w:r>
    </w:p>
    <w:p w:rsidR="00526FEF" w:rsidRDefault="00526FEF" w:rsidP="00526FE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FEF" w:rsidRDefault="00526FEF" w:rsidP="00526FEF"/>
    <w:p w:rsidR="00526FEF" w:rsidRDefault="00526FEF" w:rsidP="00526FEF"/>
    <w:p w:rsidR="00526FEF" w:rsidRDefault="00526FEF" w:rsidP="00526FEF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26FEF" w:rsidTr="00526FEF">
        <w:trPr>
          <w:trHeight w:val="397"/>
        </w:trPr>
        <w:tc>
          <w:tcPr>
            <w:tcW w:w="9600" w:type="dxa"/>
          </w:tcPr>
          <w:p w:rsidR="00526FEF" w:rsidRDefault="00526FEF">
            <w:pPr>
              <w:spacing w:line="276" w:lineRule="auto"/>
              <w:rPr>
                <w:lang w:eastAsia="en-US"/>
              </w:rPr>
            </w:pPr>
          </w:p>
        </w:tc>
      </w:tr>
      <w:tr w:rsidR="00526FEF" w:rsidTr="00526FEF">
        <w:tc>
          <w:tcPr>
            <w:tcW w:w="9600" w:type="dxa"/>
            <w:hideMark/>
          </w:tcPr>
          <w:p w:rsidR="00526FEF" w:rsidRDefault="00526F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526FEF" w:rsidTr="00526FEF">
        <w:trPr>
          <w:trHeight w:val="397"/>
        </w:trPr>
        <w:tc>
          <w:tcPr>
            <w:tcW w:w="9600" w:type="dxa"/>
            <w:hideMark/>
          </w:tcPr>
          <w:p w:rsidR="00526FEF" w:rsidRDefault="00526F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26FEF" w:rsidTr="00526FEF">
        <w:trPr>
          <w:trHeight w:val="314"/>
        </w:trPr>
        <w:tc>
          <w:tcPr>
            <w:tcW w:w="9600" w:type="dxa"/>
          </w:tcPr>
          <w:p w:rsidR="00526FEF" w:rsidRDefault="00526F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26FEF" w:rsidTr="00526FEF">
        <w:trPr>
          <w:trHeight w:val="548"/>
        </w:trPr>
        <w:tc>
          <w:tcPr>
            <w:tcW w:w="9600" w:type="dxa"/>
            <w:vAlign w:val="center"/>
            <w:hideMark/>
          </w:tcPr>
          <w:p w:rsidR="00526FEF" w:rsidRDefault="00526F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26FEF" w:rsidTr="00526FEF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26FEF">
              <w:tc>
                <w:tcPr>
                  <w:tcW w:w="284" w:type="dxa"/>
                  <w:vAlign w:val="bottom"/>
                  <w:hideMark/>
                </w:tcPr>
                <w:p w:rsidR="00526FEF" w:rsidRDefault="00526FEF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26FEF" w:rsidRDefault="00526FE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526FEF" w:rsidRDefault="00526FE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26FEF" w:rsidRDefault="00526FE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bookmarkStart w:id="0" w:name="_GoBack"/>
                  <w:bookmarkEnd w:id="0"/>
                </w:p>
              </w:tc>
            </w:tr>
            <w:tr w:rsidR="00526FEF">
              <w:tc>
                <w:tcPr>
                  <w:tcW w:w="4650" w:type="dxa"/>
                  <w:gridSpan w:val="4"/>
                  <w:hideMark/>
                </w:tcPr>
                <w:p w:rsidR="00526FEF" w:rsidRDefault="00526FE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526FEF" w:rsidRDefault="00526FE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26FEF" w:rsidRDefault="00526FEF" w:rsidP="00526FE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26FEF" w:rsidRDefault="00526FEF" w:rsidP="00526FE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26FEF" w:rsidRDefault="00526FEF" w:rsidP="00526FE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труда работников 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органов местного самоуправления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26FEF" w:rsidRPr="00526FEF" w:rsidRDefault="00526FEF" w:rsidP="00526FEF">
      <w:pPr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26FEF">
        <w:rPr>
          <w:sz w:val="28"/>
          <w:szCs w:val="28"/>
        </w:rPr>
        <w:t xml:space="preserve">В целях реализации трудовых прав работников органов местного самоуправления </w:t>
      </w:r>
      <w:proofErr w:type="spellStart"/>
      <w:r w:rsidRPr="00526FEF">
        <w:rPr>
          <w:sz w:val="28"/>
          <w:szCs w:val="28"/>
        </w:rPr>
        <w:t>Камешкирского</w:t>
      </w:r>
      <w:proofErr w:type="spellEnd"/>
      <w:r w:rsidRPr="00526FEF"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526FEF">
        <w:rPr>
          <w:sz w:val="28"/>
          <w:szCs w:val="28"/>
        </w:rPr>
        <w:t>Камешкирского</w:t>
      </w:r>
      <w:proofErr w:type="spellEnd"/>
      <w:r w:rsidRPr="00526FEF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 на повышение уровня заработной платы,  учитывая постановление Правительства Пензенской области от 18.08.2020 № 562-пП «Об оплате труда работников исполнительных органов государственной власти Пензенской области, замещающих должности, не являющиеся должностями государственной гражданской службы Пензенской области»,  в соответствии с</w:t>
      </w:r>
      <w:proofErr w:type="gramEnd"/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FEF" w:rsidRDefault="00526FEF" w:rsidP="00526FE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526FEF" w:rsidRDefault="00526FEF" w:rsidP="00526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Повысить в 1,03  раза размеры должностных окладов работников </w:t>
      </w:r>
      <w:r w:rsidRPr="00526FEF">
        <w:rPr>
          <w:sz w:val="28"/>
          <w:szCs w:val="28"/>
        </w:rPr>
        <w:t xml:space="preserve">органов местного самоуправления </w:t>
      </w:r>
      <w:proofErr w:type="spellStart"/>
      <w:r w:rsidRPr="00526FEF">
        <w:rPr>
          <w:sz w:val="28"/>
          <w:szCs w:val="28"/>
        </w:rPr>
        <w:t>Камешкирского</w:t>
      </w:r>
      <w:proofErr w:type="spellEnd"/>
      <w:r w:rsidRPr="00526FEF"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526FEF">
        <w:rPr>
          <w:sz w:val="28"/>
          <w:szCs w:val="28"/>
        </w:rPr>
        <w:t>Камешкирского</w:t>
      </w:r>
      <w:proofErr w:type="spellEnd"/>
      <w:r w:rsidRPr="00526FEF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.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2.Установить, что при повышении окладов (должностных окладов) в соответствии с пунктом 1 настоящего постановления их размеры подлежат округлению до целого рубля в сторону увеличения.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3.Финансовому управлению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финансирование мероприятий по увеличению </w:t>
      </w:r>
      <w:proofErr w:type="gramStart"/>
      <w:r>
        <w:rPr>
          <w:sz w:val="28"/>
          <w:szCs w:val="28"/>
        </w:rPr>
        <w:t xml:space="preserve">оплаты труда работников </w:t>
      </w:r>
      <w:r w:rsidRPr="00526FEF">
        <w:rPr>
          <w:sz w:val="28"/>
          <w:szCs w:val="28"/>
        </w:rPr>
        <w:t>органов местного самоуправления</w:t>
      </w:r>
      <w:proofErr w:type="gramEnd"/>
      <w:r w:rsidRPr="00526FEF">
        <w:rPr>
          <w:sz w:val="28"/>
          <w:szCs w:val="28"/>
        </w:rPr>
        <w:t xml:space="preserve"> </w:t>
      </w:r>
      <w:proofErr w:type="spellStart"/>
      <w:r w:rsidRPr="00526FEF">
        <w:rPr>
          <w:sz w:val="28"/>
          <w:szCs w:val="28"/>
        </w:rPr>
        <w:t>Камешкирского</w:t>
      </w:r>
      <w:proofErr w:type="spellEnd"/>
      <w:r w:rsidRPr="00526FEF"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526FEF">
        <w:rPr>
          <w:sz w:val="28"/>
          <w:szCs w:val="28"/>
        </w:rPr>
        <w:t>Камешкирского</w:t>
      </w:r>
      <w:proofErr w:type="spellEnd"/>
      <w:r w:rsidRPr="00526FEF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 предусмотренных пунктом 1 настоящего постановления.</w:t>
      </w: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вступает в силу с 01.10.2020.</w:t>
      </w: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Настоящее постановление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526FEF" w:rsidRDefault="00526FEF" w:rsidP="00526F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 вопросам ЖКХ и экономики.</w:t>
      </w: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526FEF" w:rsidRDefault="00526FEF" w:rsidP="00526FEF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526FEF" w:rsidRDefault="00526FEF" w:rsidP="00526FEF"/>
    <w:p w:rsidR="008A3CB7" w:rsidRDefault="009725DC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EF"/>
    <w:rsid w:val="00272A61"/>
    <w:rsid w:val="00526FEF"/>
    <w:rsid w:val="009725DC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F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F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2020-09-01T08:19:00Z</cp:lastPrinted>
  <dcterms:created xsi:type="dcterms:W3CDTF">2020-09-01T08:13:00Z</dcterms:created>
  <dcterms:modified xsi:type="dcterms:W3CDTF">2020-09-08T07:51:00Z</dcterms:modified>
</cp:coreProperties>
</file>