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B" w:rsidRDefault="003D180B" w:rsidP="003D180B">
      <w:pPr>
        <w:pStyle w:val="ConsPlusNormal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Утверждены</w:t>
      </w:r>
    </w:p>
    <w:p w:rsidR="003D180B" w:rsidRDefault="003D180B" w:rsidP="003D180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распоряжением</w:t>
      </w:r>
    </w:p>
    <w:p w:rsidR="003D180B" w:rsidRDefault="003D180B" w:rsidP="003D180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Губернатора Пензенской области</w:t>
      </w:r>
    </w:p>
    <w:p w:rsidR="003D180B" w:rsidRDefault="003D180B" w:rsidP="003D180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от 23 сентября 2015 г. N 340-р</w:t>
      </w:r>
    </w:p>
    <w:p w:rsidR="003D180B" w:rsidRDefault="003D180B" w:rsidP="003D180B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Сведения</w:t>
      </w:r>
    </w:p>
    <w:p w:rsidR="003D180B" w:rsidRDefault="003D180B" w:rsidP="003D180B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о ходе реализации мероприятий по противодействию коррупции</w:t>
      </w:r>
    </w:p>
    <w:p w:rsidR="003D180B" w:rsidRDefault="003D180B" w:rsidP="003D180B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Камешкирском</w:t>
      </w:r>
      <w:proofErr w:type="spellEnd"/>
      <w:r>
        <w:rPr>
          <w:color w:val="000000" w:themeColor="text1"/>
        </w:rPr>
        <w:t xml:space="preserve"> районе Пензенской области</w:t>
      </w:r>
    </w:p>
    <w:p w:rsidR="003D180B" w:rsidRDefault="003D180B" w:rsidP="003D180B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за 6 месяцев 2020 года </w:t>
      </w:r>
      <w:hyperlink r:id="rId5" w:anchor="P394" w:history="1">
        <w:r>
          <w:rPr>
            <w:rStyle w:val="a2"/>
            <w:color w:val="000000" w:themeColor="text1"/>
            <w:u w:val="none"/>
          </w:rPr>
          <w:t>&lt;1&gt;</w:t>
        </w:r>
      </w:hyperlink>
    </w:p>
    <w:p w:rsidR="003D180B" w:rsidRDefault="003D180B" w:rsidP="003D180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3D180B" w:rsidTr="003D180B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3D180B" w:rsidTr="003D180B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 w:rsidP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 6 месяцев текущего года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2A545A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>
              <w:rPr>
                <w:color w:val="000000" w:themeColor="text1"/>
                <w:lang w:eastAsia="en-US"/>
              </w:rPr>
              <w:t>отношении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обязанных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2A545A">
              <w:rPr>
                <w:color w:val="000000" w:themeColor="text1"/>
                <w:lang w:eastAsia="en-US"/>
              </w:rPr>
              <w:t>19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>
              <w:rPr>
                <w:color w:val="000000" w:themeColor="text1"/>
                <w:lang w:eastAsia="en-US"/>
              </w:rPr>
              <w:t>к</w:t>
            </w:r>
            <w:proofErr w:type="gramEnd"/>
            <w:r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bookmarkStart w:id="0" w:name="_GoBack" w:colFirst="3" w:colLast="3"/>
            <w:r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Pr="000B4865" w:rsidRDefault="000B4865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0B4865">
              <w:rPr>
                <w:color w:val="000000" w:themeColor="text1"/>
                <w:lang w:eastAsia="en-US"/>
              </w:rPr>
              <w:t>4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Pr="000B4865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0B4865"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Pr="000B4865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0B4865"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Pr="000B4865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0B4865"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Pr="000B4865" w:rsidRDefault="000B4865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0B4865">
              <w:rPr>
                <w:color w:val="000000" w:themeColor="text1"/>
                <w:lang w:eastAsia="en-US"/>
              </w:rPr>
              <w:t>4</w:t>
            </w:r>
          </w:p>
        </w:tc>
      </w:tr>
      <w:bookmarkEnd w:id="0"/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3D180B" w:rsidTr="003D180B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3D180B" w:rsidTr="003D18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3D180B" w:rsidRDefault="003D180B" w:rsidP="003D180B">
      <w:pPr>
        <w:pStyle w:val="ConsPlusNormal"/>
        <w:jc w:val="both"/>
        <w:rPr>
          <w:color w:val="000000" w:themeColor="text1"/>
        </w:rPr>
      </w:pPr>
    </w:p>
    <w:p w:rsidR="003D180B" w:rsidRDefault="003D180B" w:rsidP="003D180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--------------------------------</w:t>
      </w:r>
    </w:p>
    <w:p w:rsidR="003D180B" w:rsidRDefault="003D180B" w:rsidP="003D180B">
      <w:pPr>
        <w:pStyle w:val="ConsPlusNormal"/>
        <w:ind w:firstLine="540"/>
        <w:jc w:val="both"/>
        <w:rPr>
          <w:color w:val="000000" w:themeColor="text1"/>
        </w:rPr>
      </w:pPr>
      <w:bookmarkStart w:id="1" w:name="P394"/>
      <w:bookmarkEnd w:id="1"/>
      <w:r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СВЕДЕНИЯ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об уведомлении муниципальными служащими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Камешкирского</w:t>
      </w:r>
      <w:proofErr w:type="spellEnd"/>
      <w:r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о выполнении иной оплачиваемой работы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за </w:t>
      </w:r>
      <w:r w:rsidR="002A545A">
        <w:rPr>
          <w:rFonts w:ascii="Calibri" w:hAnsi="Calibri" w:cs="Calibri"/>
          <w:color w:val="000000" w:themeColor="text1"/>
        </w:rPr>
        <w:t>6 месяцев</w:t>
      </w:r>
      <w:r>
        <w:rPr>
          <w:rFonts w:ascii="Calibri" w:hAnsi="Calibri" w:cs="Calibri"/>
          <w:color w:val="000000" w:themeColor="text1"/>
        </w:rPr>
        <w:t xml:space="preserve"> 2020 года </w:t>
      </w:r>
      <w:hyperlink r:id="rId6" w:anchor="P31" w:history="1">
        <w:r>
          <w:rPr>
            <w:rStyle w:val="a2"/>
            <w:rFonts w:ascii="Calibri" w:hAnsi="Calibri" w:cs="Calibri"/>
            <w:color w:val="000000" w:themeColor="text1"/>
            <w:u w:val="none"/>
          </w:rPr>
          <w:t>(1)</w:t>
        </w:r>
      </w:hyperlink>
    </w:p>
    <w:p w:rsidR="003D180B" w:rsidRDefault="003D180B" w:rsidP="003D180B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3D180B" w:rsidTr="003D180B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3D180B" w:rsidTr="003D180B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из них уволено</w:t>
            </w:r>
          </w:p>
        </w:tc>
      </w:tr>
      <w:tr w:rsidR="003D180B" w:rsidTr="003D180B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2A545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p w:rsidR="003D180B" w:rsidRDefault="003D180B" w:rsidP="003D180B">
      <w:pPr>
        <w:spacing w:after="1" w:line="220" w:lineRule="atLeast"/>
        <w:ind w:firstLine="540"/>
        <w:jc w:val="both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--------------------------------</w:t>
      </w:r>
    </w:p>
    <w:p w:rsidR="003D180B" w:rsidRDefault="003D180B" w:rsidP="003D180B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2" w:name="P31"/>
      <w:bookmarkEnd w:id="2"/>
      <w:r>
        <w:rPr>
          <w:rFonts w:ascii="Calibri" w:hAnsi="Calibri" w:cs="Calibri"/>
          <w:color w:val="000000" w:themeColor="text1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ПОКАЗАТЕЛИ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Камешкирского</w:t>
      </w:r>
      <w:proofErr w:type="spellEnd"/>
      <w:r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за </w:t>
      </w:r>
      <w:r w:rsidR="002A545A">
        <w:rPr>
          <w:rFonts w:ascii="Calibri" w:hAnsi="Calibri" w:cs="Calibri"/>
          <w:color w:val="000000" w:themeColor="text1"/>
        </w:rPr>
        <w:t>6 месяцев</w:t>
      </w:r>
      <w:r>
        <w:rPr>
          <w:rFonts w:ascii="Calibri" w:hAnsi="Calibri" w:cs="Calibri"/>
          <w:color w:val="000000" w:themeColor="text1"/>
        </w:rPr>
        <w:t xml:space="preserve"> 2020года </w:t>
      </w:r>
      <w:hyperlink r:id="rId7" w:anchor="P8" w:history="1">
        <w:r>
          <w:rPr>
            <w:rStyle w:val="a2"/>
            <w:rFonts w:ascii="Calibri" w:hAnsi="Calibri" w:cs="Calibri"/>
            <w:color w:val="000000" w:themeColor="text1"/>
            <w:u w:val="none"/>
          </w:rPr>
          <w:t>&lt;*&gt;</w:t>
        </w:r>
      </w:hyperlink>
    </w:p>
    <w:p w:rsidR="003D180B" w:rsidRDefault="003D180B" w:rsidP="003D180B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3D180B" w:rsidRDefault="003D180B" w:rsidP="003D180B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3" w:name="P8"/>
      <w:bookmarkEnd w:id="3"/>
      <w:r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  <w:color w:val="000000" w:themeColor="text1"/>
        </w:rPr>
        <w:t>за</w:t>
      </w:r>
      <w:proofErr w:type="gramEnd"/>
      <w:r>
        <w:rPr>
          <w:rFonts w:ascii="Calibri" w:hAnsi="Calibri" w:cs="Calibri"/>
          <w:color w:val="000000" w:themeColor="text1"/>
        </w:rPr>
        <w:t xml:space="preserve"> отчетным).</w:t>
      </w:r>
    </w:p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p w:rsidR="003D180B" w:rsidRDefault="003D180B" w:rsidP="003D180B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Маркелова Светлана Александровна, руководитель аппарата администрации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Кодоркин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обязанности главы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Сорокина Валентина Юрьевна – глава администрации Русско-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  <w:r>
              <w:rPr>
                <w:color w:val="000000" w:themeColor="text1"/>
              </w:rPr>
              <w:lastRenderedPageBreak/>
              <w:t>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Каржин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Угрушев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Н.Г., Глава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Чернухина Ирина Алексеевна, начальник юридического отдела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Шабалова</w:t>
            </w:r>
            <w:proofErr w:type="spellEnd"/>
            <w:r>
              <w:rPr>
                <w:color w:val="000000" w:themeColor="text1"/>
              </w:rPr>
              <w:t xml:space="preserve"> Наталья Васильевна - ведущий эксперт администрации Русско-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Барьмаева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Кальдина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Бажутина Анна Анатольевна, главный специалист администрации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3D180B" w:rsidRDefault="003D180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lastRenderedPageBreak/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05.09.18 г. № 139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3D180B" w:rsidRDefault="003D1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11.04.2019 г №496-125/2</w:t>
            </w:r>
          </w:p>
          <w:p w:rsidR="003D180B" w:rsidRDefault="003D180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3D180B" w:rsidRDefault="003D1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Лапшовского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№456-92/2</w:t>
            </w:r>
          </w:p>
          <w:p w:rsidR="003D180B" w:rsidRDefault="003D180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180B" w:rsidRDefault="003D1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№390-94/6</w:t>
            </w:r>
          </w:p>
          <w:p w:rsidR="003D180B" w:rsidRDefault="003D180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180B" w:rsidRDefault="003D1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Новошаткинского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№541-82/2</w:t>
            </w:r>
          </w:p>
          <w:p w:rsidR="003D180B" w:rsidRDefault="003D180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180B" w:rsidRDefault="003D1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Большеумысского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№423-119/6</w:t>
            </w:r>
          </w:p>
          <w:p w:rsidR="003D180B" w:rsidRDefault="003D180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180B" w:rsidRDefault="003D1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КМС Русско-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08.04.2019 г №908-107/6</w:t>
            </w:r>
          </w:p>
          <w:p w:rsidR="003D180B" w:rsidRDefault="003D180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180B" w:rsidRDefault="003D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p w:rsidR="003D180B" w:rsidRDefault="003D180B" w:rsidP="003D180B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3D180B" w:rsidRDefault="003D180B" w:rsidP="003D180B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3D180B" w:rsidTr="002A545A">
        <w:trPr>
          <w:trHeight w:val="9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8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0" w:anchor="P26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проверок достоверности и полноты сведений о доходах, об имуществе и обязательствах имущественного </w:t>
            </w:r>
            <w:r>
              <w:rPr>
                <w:rFonts w:ascii="Calibri" w:hAnsi="Calibri" w:cs="Calibri"/>
                <w:color w:val="000000" w:themeColor="text1"/>
              </w:rPr>
              <w:lastRenderedPageBreak/>
              <w:t>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2A545A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3.2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4.2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6.2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6.3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07.02.20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б отчете администрации Русско-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22.01.20 г. О Плане работы комиссии по соблюдению требований к служебному поведению муниципальных служащих Русско-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24.01.20 г. О Плане работы комиссии по соблюдению требований к служебному поведению муниципальных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0"/>
            </w:pP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11.1.1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3D180B" w:rsidTr="003D180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8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3D180B" w:rsidTr="003D180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29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0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1" w:anchor="P26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2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16.2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3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(16.4)</w:t>
              </w:r>
            </w:hyperlink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4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5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6" w:anchor="P26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7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17.1</w:t>
              </w:r>
            </w:hyperlink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05.02.2020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Учесть ошибки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5 (9696)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Мошенники никогда не дремлют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 11 (9700)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954287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законом шутки плохи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 w:rsidP="00954287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Районная газета «Новь» №   </w:t>
            </w:r>
            <w:r>
              <w:rPr>
                <w:color w:val="000000" w:themeColor="text1"/>
              </w:rPr>
              <w:t>17</w:t>
            </w:r>
            <w:r>
              <w:rPr>
                <w:color w:val="000000" w:themeColor="text1"/>
              </w:rPr>
              <w:t xml:space="preserve"> (970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954287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 w:rsidP="0095428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87" w:rsidRDefault="00954287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3D180B" w:rsidTr="003D180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8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9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0" w:anchor="P26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3D180B" w:rsidRDefault="003D180B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17.2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2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(17.3)</w:t>
              </w:r>
            </w:hyperlink>
          </w:p>
        </w:tc>
      </w:tr>
      <w:tr w:rsidR="003D180B" w:rsidTr="003D180B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02.03.20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p w:rsidR="003D180B" w:rsidRDefault="003D180B" w:rsidP="003D180B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3D180B" w:rsidRDefault="003D180B" w:rsidP="003D180B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3D180B" w:rsidTr="003D180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3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4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5" w:anchor="P261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3D180B" w:rsidTr="003D180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-</w:t>
            </w:r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6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1.1.1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D180B" w:rsidTr="003D180B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1.2</w:t>
              </w:r>
            </w:hyperlink>
          </w:p>
          <w:p w:rsidR="003D180B" w:rsidRDefault="003D180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50" w:history="1">
              <w:r>
                <w:rPr>
                  <w:rStyle w:val="a2"/>
                  <w:rFonts w:ascii="Calibri" w:hAnsi="Calibri" w:cs="Calibri"/>
                  <w:color w:val="000000" w:themeColor="text1"/>
                  <w:u w:val="none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0B" w:rsidRDefault="003D180B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3D180B" w:rsidRDefault="003D180B" w:rsidP="003D180B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4" w:name="P261"/>
      <w:bookmarkEnd w:id="4"/>
      <w:r>
        <w:rPr>
          <w:rFonts w:ascii="Calibri" w:hAnsi="Calibri" w:cs="Calibri"/>
          <w:color w:val="000000" w:themeColor="text1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3D180B" w:rsidRDefault="003D180B" w:rsidP="003D180B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3D180B" w:rsidRDefault="003D180B" w:rsidP="003D180B">
      <w:pPr>
        <w:rPr>
          <w:color w:val="000000" w:themeColor="text1"/>
        </w:rPr>
      </w:pPr>
    </w:p>
    <w:p w:rsidR="003D180B" w:rsidRDefault="003D180B"/>
    <w:sectPr w:rsidR="003D180B" w:rsidSect="003D18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0B"/>
    <w:rsid w:val="000B4865"/>
    <w:rsid w:val="002A545A"/>
    <w:rsid w:val="003D180B"/>
    <w:rsid w:val="00954287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ConsPlusNormal">
    <w:name w:val="ConsPlusNormal"/>
    <w:rsid w:val="003D1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2">
    <w:name w:val="Hyperlink"/>
    <w:basedOn w:val="a"/>
    <w:uiPriority w:val="99"/>
    <w:semiHidden/>
    <w:unhideWhenUsed/>
    <w:rsid w:val="003D1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ConsPlusNormal">
    <w:name w:val="ConsPlusNormal"/>
    <w:rsid w:val="003D1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2">
    <w:name w:val="Hyperlink"/>
    <w:basedOn w:val="a"/>
    <w:uiPriority w:val="99"/>
    <w:semiHidden/>
    <w:unhideWhenUsed/>
    <w:rsid w:val="003D1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Eh3J5L" TargetMode="External"/><Relationship Id="rId18" Type="http://schemas.openxmlformats.org/officeDocument/2006/relationships/hyperlink" Target="consultantplus://offline/ref=AA7D07C533DA29C091E3EA31BE612950A082DD745CA990A96AE99F9125E2CB71748E291F6943DDAE6BF128E9h3JEL" TargetMode="External"/><Relationship Id="rId26" Type="http://schemas.openxmlformats.org/officeDocument/2006/relationships/hyperlink" Target="consultantplus://offline/ref=AA7D07C533DA29C091E3EA31BE612950A082DD745CA990A96AE99F9125E2CB71748E291F6943DDAE6BF128EFh3JEL" TargetMode="External"/><Relationship Id="rId39" Type="http://schemas.openxmlformats.org/officeDocument/2006/relationships/hyperlink" Target="consultantplus://offline/ref=AA7D07C533DA29C091E3EA31BE612950A082DD745CA990A96AE99F9125E2CB71748E291F6943DDAE6BF129ECh3J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7D07C533DA29C091E3EA31BE612950A082DD745CA990A96AE99F9125E2CB71748E291F6943DDAE6BF128EFh3JCL" TargetMode="External"/><Relationship Id="rId34" Type="http://schemas.openxmlformats.org/officeDocument/2006/relationships/hyperlink" Target="consultantplus://offline/ref=AA7D07C533DA29C091E3EA31BE612950A082DD745CA990A96AE99F9125E2CB71748E291F6943DDAE6BF129EFh3JBL" TargetMode="External"/><Relationship Id="rId42" Type="http://schemas.openxmlformats.org/officeDocument/2006/relationships/hyperlink" Target="consultantplus://offline/ref=AA7D07C533DA29C091E3EA31BE612950A082DD745CA990A96AE99F9125E2CB71748E291F6943DDAE6BF128EFh3J8L" TargetMode="External"/><Relationship Id="rId47" Type="http://schemas.openxmlformats.org/officeDocument/2006/relationships/hyperlink" Target="consultantplus://offline/ref=AA7D07C533DA29C091E3EA31BE612950A082DD745CA990A96AE99F9125E2CB71748E291F6943DDAE6BF128E8h3J4L" TargetMode="External"/><Relationship Id="rId50" Type="http://schemas.openxmlformats.org/officeDocument/2006/relationships/hyperlink" Target="consultantplus://offline/ref=AA7D07C533DA29C091E3EA31BE612950A082DD745CA990A96AE99F9125E2CB71748E291F6943DDAE6BF128EEh3JA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8E9h3JCL" TargetMode="External"/><Relationship Id="rId17" Type="http://schemas.openxmlformats.org/officeDocument/2006/relationships/hyperlink" Target="consultantplus://offline/ref=AA7D07C533DA29C091E3EA31BE612950A082DD745CA990A96AE99F9125E2CB71748E291F6943DDAE6BF12BEAh3JEL" TargetMode="External"/><Relationship Id="rId25" Type="http://schemas.openxmlformats.org/officeDocument/2006/relationships/hyperlink" Target="consultantplus://offline/ref=AA7D07C533DA29C091E3EA31BE612950A082DD745CA990A96AE99F9125E2CB71748E291F6943DDAE6BF128E9h3J4L" TargetMode="External"/><Relationship Id="rId33" Type="http://schemas.openxmlformats.org/officeDocument/2006/relationships/hyperlink" Target="consultantplus://offline/ref=AA7D07C533DA29C091E3EA31BE612950A082DD745CA990A96AE99F9125E2CB71748E291F6943DDAE6BF128EFh3J9L" TargetMode="External"/><Relationship Id="rId38" Type="http://schemas.openxmlformats.org/officeDocument/2006/relationships/hyperlink" Target="consultantplus://offline/ref=AA7D07C533DA29C091E3EA31BE612950A082DD745CA990A96AE99F9125E2CB71748E291F6943DDAE6BF129EFh3JBL" TargetMode="External"/><Relationship Id="rId46" Type="http://schemas.openxmlformats.org/officeDocument/2006/relationships/hyperlink" Target="consultantplus://offline/ref=AA7D07C533DA29C091E3EA31BE612950A082DD745CA990A96AE99F9125E2CB71748E291F6943DDAE6BF128EEh3J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D07C533DA29C091E3EA31BE612950A082DD745CA990A96AE99F9125E2CB71748E291F6943DDAE6BF128EEh3J4L" TargetMode="External"/><Relationship Id="rId20" Type="http://schemas.openxmlformats.org/officeDocument/2006/relationships/hyperlink" Target="consultantplus://offline/ref=AA7D07C533DA29C091E3EA31BE612950A082DD745CA990A96AE99F9125E2CB71748E291F6943DDAE6BF128E9h3J9L" TargetMode="External"/><Relationship Id="rId29" Type="http://schemas.openxmlformats.org/officeDocument/2006/relationships/hyperlink" Target="consultantplus://offline/ref=AA7D07C533DA29C091E3EA31BE612950A082DD745CA990A96AE99F9125E2CB71748E291F6943DDAE6BF129EFh3JBL" TargetMode="External"/><Relationship Id="rId41" Type="http://schemas.openxmlformats.org/officeDocument/2006/relationships/hyperlink" Target="consultantplus://offline/ref=AA7D07C533DA29C091E3EA31BE612950A082DD745CA990A96AE99F9125E2CB71748E291F6943DDAE6BF128EEh3J9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consultantplus://offline/ref=AA7D07C533DA29C091E3EA31BE612950A082DD745CA990A96AE99F9125E2CB71748E291F6943DDAE6BF12BEAh3JCL" TargetMode="External"/><Relationship Id="rId24" Type="http://schemas.openxmlformats.org/officeDocument/2006/relationships/hyperlink" Target="consultantplus://offline/ref=AA7D07C533DA29C091E3EA31BE612950A082DD745CA990A96AE99F9125E2CB71748E291F6943DDAE6BF12BEAh3J9L" TargetMode="External"/><Relationship Id="rId32" Type="http://schemas.openxmlformats.org/officeDocument/2006/relationships/hyperlink" Target="consultantplus://offline/ref=AA7D07C533DA29C091E3EA31BE612950A082DD745CA990A96AE99F9125E2CB71748E291F6943DDAE6BF128EEh3JFL" TargetMode="External"/><Relationship Id="rId37" Type="http://schemas.openxmlformats.org/officeDocument/2006/relationships/hyperlink" Target="consultantplus://offline/ref=AA7D07C533DA29C091E3EA31BE612950A082DD745CA990A96AE99F9125E2CB71748E291F6943DDAE6BF128EEh3JEL" TargetMode="External"/><Relationship Id="rId4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5" Type="http://schemas.openxmlformats.org/officeDocument/2006/relationships/hyperlink" Target="consultantplus://offline/ref=AA7D07C533DA29C091E3EA31BE612950A082DD745CA990A96AE99F9125E2CB71748E291F6943DDAE6BF128E9h3JFL" TargetMode="External"/><Relationship Id="rId23" Type="http://schemas.openxmlformats.org/officeDocument/2006/relationships/hyperlink" Target="consultantplus://offline/ref=AA7D07C533DA29C091E3EA31BE612950A082DD745CA990A96AE99F9125E2CB71748E291F6943DDAE6BF128E9h3J5L" TargetMode="External"/><Relationship Id="rId28" Type="http://schemas.openxmlformats.org/officeDocument/2006/relationships/hyperlink" Target="consultantplus://offline/ref=AA7D07C533DA29C091E3EA31BE612950A082DD745CA990A96AE99F9125E2CB71748E291F6943DDAE6BF128EEh3JCL" TargetMode="External"/><Relationship Id="rId3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9" Type="http://schemas.openxmlformats.org/officeDocument/2006/relationships/hyperlink" Target="consultantplus://offline/ref=AA7D07C533DA29C091E3EA31BE612950A082DD745CA990A96AE99F9125E2CB71748E291F6943DDAE6BF128E9h3JDL" TargetMode="External"/><Relationship Id="rId1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9" Type="http://schemas.openxmlformats.org/officeDocument/2006/relationships/hyperlink" Target="consultantplus://offline/ref=AA7D07C533DA29C091E3EA31BE612950A082DD745CA990A96AE99F9125E2CB71748E291F6943DDAE6BF128EFh3JDL" TargetMode="External"/><Relationship Id="rId3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4" Type="http://schemas.openxmlformats.org/officeDocument/2006/relationships/hyperlink" Target="consultantplus://offline/ref=AA7D07C533DA29C091E3EA31BE612950A082DD745CA990A96AE99F9125E2CB71748E291F6943DDAE6BF129ECh3JF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D07C533DA29C091E3EA31BE612950A082DD745CA990A96AE99F9125E2CB71748E291F6943DDAE6BF129ECh3JFL" TargetMode="External"/><Relationship Id="rId14" Type="http://schemas.openxmlformats.org/officeDocument/2006/relationships/hyperlink" Target="consultantplus://offline/ref=AA7D07C533DA29C091E3EA31BE612950A082DD745CA990A96AE99F9125E2CB71748E291F6943DDAE6BF12BEAh3JFL" TargetMode="External"/><Relationship Id="rId22" Type="http://schemas.openxmlformats.org/officeDocument/2006/relationships/hyperlink" Target="consultantplus://offline/ref=AA7D07C533DA29C091E3EA31BE612950A082DD745CA990A96AE99F9125E2CB71748E291F6943DDAE6BF128E9h3JAL" TargetMode="External"/><Relationship Id="rId27" Type="http://schemas.openxmlformats.org/officeDocument/2006/relationships/hyperlink" Target="consultantplus://offline/ref=AA7D07C533DA29C091E3EA31BE612950A082DD745CA990A96AE99F9125E2CB71748E291F6943DDAE6BF128EEh3JDL" TargetMode="External"/><Relationship Id="rId30" Type="http://schemas.openxmlformats.org/officeDocument/2006/relationships/hyperlink" Target="consultantplus://offline/ref=AA7D07C533DA29C091E3EA31BE612950A082DD745CA990A96AE99F9125E2CB71748E291F6943DDAE6BF129ECh3JFL" TargetMode="External"/><Relationship Id="rId35" Type="http://schemas.openxmlformats.org/officeDocument/2006/relationships/hyperlink" Target="consultantplus://offline/ref=AA7D07C533DA29C091E3EA31BE612950A082DD745CA990A96AE99F9125E2CB71748E291F6943DDAE6BF129ECh3JFL" TargetMode="External"/><Relationship Id="rId43" Type="http://schemas.openxmlformats.org/officeDocument/2006/relationships/hyperlink" Target="consultantplus://offline/ref=AA7D07C533DA29C091E3EA31BE612950A082DD745CA990A96AE99F9125E2CB71748E291F6943DDAE6BF129EFh3JBL" TargetMode="External"/><Relationship Id="rId48" Type="http://schemas.openxmlformats.org/officeDocument/2006/relationships/hyperlink" Target="consultantplus://offline/ref=AA7D07C533DA29C091E3EA31BE612950A082DD745CA990A96AE99F9125E2CB71748E291F6943DDAE6BF128EEh3JBL" TargetMode="External"/><Relationship Id="rId8" Type="http://schemas.openxmlformats.org/officeDocument/2006/relationships/hyperlink" Target="consultantplus://offline/ref=AA7D07C533DA29C091E3EA31BE612950A082DD745CA990A96AE99F9125E2CB71748E291F6943DDAE6BF129EFh3JB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5114</Words>
  <Characters>29155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2020-07-09T10:33:00Z</dcterms:created>
  <dcterms:modified xsi:type="dcterms:W3CDTF">2020-07-09T11:07:00Z</dcterms:modified>
</cp:coreProperties>
</file>