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71550"/>
                    </a:xfrm>
                    <a:prstGeom prst="rect">
                      <a:avLst/>
                    </a:prstGeom>
                    <a:noFill/>
                    <a:ln>
                      <a:noFill/>
                    </a:ln>
                  </pic:spPr>
                </pic:pic>
              </a:graphicData>
            </a:graphic>
          </wp:inline>
        </w:drawing>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16"/>
          <w:szCs w:val="16"/>
          <w:lang w:eastAsia="ru-RU"/>
        </w:rPr>
      </w:pPr>
    </w:p>
    <w:p w:rsidR="009D7D51" w:rsidRDefault="00481574" w:rsidP="009D7D51">
      <w:pPr>
        <w:widowControl w:val="0"/>
        <w:spacing w:after="0" w:line="240" w:lineRule="auto"/>
        <w:ind w:right="-142"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Комитет местного самоуправления</w:t>
      </w:r>
    </w:p>
    <w:p w:rsidR="00481574" w:rsidRPr="006801AC" w:rsidRDefault="0044407A" w:rsidP="009D7D51">
      <w:pPr>
        <w:widowControl w:val="0"/>
        <w:spacing w:after="0" w:line="240" w:lineRule="auto"/>
        <w:ind w:right="-142" w:firstLine="142"/>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Большеумысского</w:t>
      </w:r>
      <w:r w:rsidR="00481574" w:rsidRPr="006801AC">
        <w:rPr>
          <w:rFonts w:ascii="Times New Roman" w:eastAsia="Times New Roman" w:hAnsi="Times New Roman" w:cs="Times New Roman"/>
          <w:sz w:val="36"/>
          <w:szCs w:val="36"/>
          <w:lang w:eastAsia="ru-RU"/>
        </w:rPr>
        <w:t xml:space="preserve"> сельсовета</w:t>
      </w:r>
    </w:p>
    <w:p w:rsidR="009C5497" w:rsidRDefault="00481574" w:rsidP="009D7D51">
      <w:pPr>
        <w:widowControl w:val="0"/>
        <w:spacing w:after="0" w:line="240" w:lineRule="auto"/>
        <w:ind w:right="-142"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 xml:space="preserve">Камешкирского района </w:t>
      </w:r>
    </w:p>
    <w:p w:rsidR="00481574" w:rsidRPr="006801AC" w:rsidRDefault="00481574" w:rsidP="009D7D51">
      <w:pPr>
        <w:widowControl w:val="0"/>
        <w:spacing w:after="0" w:line="240" w:lineRule="auto"/>
        <w:ind w:right="-142"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Пензенской области</w:t>
      </w:r>
    </w:p>
    <w:p w:rsidR="00481574" w:rsidRDefault="00481574" w:rsidP="009D7D51">
      <w:pPr>
        <w:widowControl w:val="0"/>
        <w:spacing w:after="0" w:line="240" w:lineRule="auto"/>
        <w:ind w:right="-142"/>
        <w:jc w:val="center"/>
        <w:rPr>
          <w:rFonts w:ascii="Times New Roman" w:eastAsia="Times New Roman" w:hAnsi="Times New Roman" w:cs="Times New Roman"/>
          <w:color w:val="FF0000"/>
          <w:sz w:val="20"/>
          <w:szCs w:val="20"/>
          <w:lang w:eastAsia="ru-RU"/>
        </w:rPr>
      </w:pPr>
    </w:p>
    <w:p w:rsidR="0044407A" w:rsidRPr="006801AC" w:rsidRDefault="0044407A" w:rsidP="00481574">
      <w:pPr>
        <w:widowControl w:val="0"/>
        <w:spacing w:after="0" w:line="240" w:lineRule="auto"/>
        <w:jc w:val="center"/>
        <w:rPr>
          <w:rFonts w:ascii="Times New Roman" w:eastAsia="Times New Roman" w:hAnsi="Times New Roman" w:cs="Times New Roman"/>
          <w:color w:val="FF0000"/>
          <w:sz w:val="20"/>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sz w:val="28"/>
          <w:szCs w:val="28"/>
          <w:lang w:eastAsia="ru-RU"/>
        </w:rPr>
      </w:pPr>
      <w:r w:rsidRPr="006801AC">
        <w:rPr>
          <w:rFonts w:ascii="Times New Roman" w:eastAsia="Times New Roman" w:hAnsi="Times New Roman" w:cs="Times New Roman"/>
          <w:b/>
          <w:sz w:val="28"/>
          <w:szCs w:val="28"/>
          <w:lang w:eastAsia="ru-RU"/>
        </w:rPr>
        <w:t>Р Е Ш Е Н И Е</w:t>
      </w:r>
    </w:p>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tblPr>
      <w:tblGrid>
        <w:gridCol w:w="404"/>
        <w:gridCol w:w="2835"/>
        <w:gridCol w:w="397"/>
        <w:gridCol w:w="1134"/>
      </w:tblGrid>
      <w:tr w:rsidR="00481574" w:rsidRPr="006801AC" w:rsidTr="009D7D51">
        <w:tc>
          <w:tcPr>
            <w:tcW w:w="404" w:type="dxa"/>
            <w:vAlign w:val="bottom"/>
          </w:tcPr>
          <w:p w:rsidR="00481574" w:rsidRPr="006801AC" w:rsidRDefault="00481574" w:rsidP="009D7D51">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256B77" w:rsidP="009D7D5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14.09.2020г.</w:t>
            </w:r>
          </w:p>
        </w:tc>
        <w:tc>
          <w:tcPr>
            <w:tcW w:w="397" w:type="dxa"/>
            <w:vAlign w:val="bottom"/>
          </w:tcPr>
          <w:p w:rsidR="00481574" w:rsidRPr="006801AC" w:rsidRDefault="00481574" w:rsidP="009D7D51">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256B77" w:rsidP="009D7D5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80-23/7</w:t>
            </w:r>
          </w:p>
        </w:tc>
      </w:tr>
      <w:tr w:rsidR="00481574" w:rsidRPr="006801AC" w:rsidTr="009D7D51">
        <w:tc>
          <w:tcPr>
            <w:tcW w:w="4770" w:type="dxa"/>
            <w:gridSpan w:val="4"/>
          </w:tcPr>
          <w:p w:rsidR="00481574" w:rsidRPr="006801AC" w:rsidRDefault="00481574" w:rsidP="009D7D51">
            <w:pPr>
              <w:widowControl w:val="0"/>
              <w:spacing w:after="0" w:line="240" w:lineRule="auto"/>
              <w:jc w:val="center"/>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с.</w:t>
            </w:r>
            <w:r w:rsidR="0044407A">
              <w:rPr>
                <w:rFonts w:ascii="Times New Roman" w:eastAsia="Times New Roman" w:hAnsi="Times New Roman" w:cs="Times New Roman"/>
                <w:sz w:val="24"/>
                <w:szCs w:val="24"/>
                <w:lang w:eastAsia="ru-RU"/>
              </w:rPr>
              <w:t>БольшойУмыс</w:t>
            </w:r>
          </w:p>
          <w:p w:rsidR="00481574" w:rsidRPr="006801AC" w:rsidRDefault="00481574" w:rsidP="009D7D51">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r w:rsidR="0044407A">
        <w:rPr>
          <w:rFonts w:ascii="Times New Roman" w:eastAsia="Times New Roman" w:hAnsi="Times New Roman" w:cs="Times New Roman"/>
          <w:b/>
          <w:sz w:val="24"/>
          <w:szCs w:val="24"/>
          <w:lang w:eastAsia="ru-RU"/>
        </w:rPr>
        <w:t>Большеумысского</w:t>
      </w:r>
      <w:r w:rsidRPr="006801AC">
        <w:rPr>
          <w:rFonts w:ascii="Times New Roman" w:eastAsia="Times New Roman" w:hAnsi="Times New Roman" w:cs="Times New Roman"/>
          <w:b/>
          <w:sz w:val="24"/>
          <w:szCs w:val="24"/>
          <w:lang w:eastAsia="ru-RU"/>
        </w:rPr>
        <w:t xml:space="preserve"> сельсовета Камешкирского района Пензенской области</w:t>
      </w:r>
    </w:p>
    <w:p w:rsidR="00481574" w:rsidRPr="006801AC" w:rsidRDefault="00481574" w:rsidP="00C6210E">
      <w:pPr>
        <w:widowControl w:val="0"/>
        <w:spacing w:after="0" w:line="209" w:lineRule="atLeast"/>
        <w:jc w:val="both"/>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r w:rsidR="0044407A">
        <w:rPr>
          <w:rFonts w:ascii="Times New Roman" w:eastAsia="Times New Roman" w:hAnsi="Times New Roman" w:cs="Times New Roman"/>
          <w:sz w:val="24"/>
          <w:szCs w:val="24"/>
          <w:lang w:eastAsia="ru-RU"/>
        </w:rPr>
        <w:t>Большеумысского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w:t>
      </w:r>
      <w:r w:rsidR="00C6210E">
        <w:rPr>
          <w:rFonts w:ascii="Times New Roman" w:eastAsia="Times New Roman" w:hAnsi="Times New Roman" w:cs="Times New Roman"/>
          <w:sz w:val="24"/>
          <w:szCs w:val="24"/>
          <w:lang w:eastAsia="ru-RU"/>
        </w:rPr>
        <w:t xml:space="preserve"> области</w:t>
      </w:r>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b/>
          <w:sz w:val="24"/>
          <w:szCs w:val="24"/>
          <w:lang w:eastAsia="ru-RU"/>
        </w:rPr>
        <w:t xml:space="preserve">Комитет местного самоуправления </w:t>
      </w:r>
      <w:r w:rsidR="0044407A">
        <w:rPr>
          <w:rFonts w:ascii="Times New Roman" w:eastAsia="Times New Roman" w:hAnsi="Times New Roman" w:cs="Times New Roman"/>
          <w:b/>
          <w:sz w:val="24"/>
          <w:szCs w:val="24"/>
          <w:lang w:eastAsia="ru-RU"/>
        </w:rPr>
        <w:t>Большеумысского</w:t>
      </w:r>
      <w:r w:rsidRPr="006801AC">
        <w:rPr>
          <w:rFonts w:ascii="Times New Roman" w:eastAsia="Times New Roman" w:hAnsi="Times New Roman" w:cs="Times New Roman"/>
          <w:b/>
          <w:sz w:val="24"/>
          <w:szCs w:val="24"/>
          <w:lang w:eastAsia="ru-RU"/>
        </w:rPr>
        <w:t xml:space="preserve"> 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r w:rsidR="0044407A">
        <w:rPr>
          <w:rFonts w:ascii="Times New Roman" w:eastAsia="Times New Roman" w:hAnsi="Times New Roman" w:cs="Times New Roman"/>
          <w:sz w:val="24"/>
          <w:szCs w:val="24"/>
          <w:lang w:eastAsia="ru-RU"/>
        </w:rPr>
        <w:t>Большеумысского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r w:rsidR="0044407A">
        <w:rPr>
          <w:rFonts w:ascii="Times New Roman" w:eastAsia="Times New Roman" w:hAnsi="Times New Roman" w:cs="Times New Roman"/>
          <w:sz w:val="24"/>
          <w:szCs w:val="24"/>
          <w:lang w:eastAsia="ru-RU"/>
        </w:rPr>
        <w:t>Большеумысского</w:t>
      </w:r>
      <w:r>
        <w:rPr>
          <w:rFonts w:ascii="Times New Roman" w:eastAsia="Times New Roman" w:hAnsi="Times New Roman" w:cs="Times New Roman"/>
          <w:sz w:val="24"/>
          <w:szCs w:val="24"/>
          <w:lang w:eastAsia="ru-RU"/>
        </w:rPr>
        <w:t xml:space="preserve"> 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Pr>
          <w:rFonts w:ascii="Times New Roman" w:eastAsia="Times New Roman" w:hAnsi="Times New Roman" w:cs="Times New Roman"/>
          <w:sz w:val="24"/>
          <w:szCs w:val="24"/>
          <w:lang w:eastAsia="ru-RU"/>
        </w:rPr>
        <w:t xml:space="preserve"> от </w:t>
      </w:r>
      <w:r w:rsidR="00365565" w:rsidRPr="00365565">
        <w:rPr>
          <w:rFonts w:ascii="Times New Roman" w:eastAsia="Times New Roman" w:hAnsi="Times New Roman" w:cs="Times New Roman"/>
          <w:sz w:val="24"/>
          <w:szCs w:val="24"/>
          <w:lang w:eastAsia="ru-RU"/>
        </w:rPr>
        <w:t>25.01.2019  №  406-114/6</w:t>
      </w:r>
      <w:r w:rsidR="00DB628B">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изменения, изложив их в новой редакции</w:t>
      </w:r>
      <w:r w:rsidR="00D11673">
        <w:rPr>
          <w:rFonts w:ascii="Times New Roman" w:eastAsia="Times New Roman" w:hAnsi="Times New Roman" w:cs="Times New Roman"/>
          <w:sz w:val="24"/>
          <w:szCs w:val="24"/>
          <w:lang w:eastAsia="ru-RU"/>
        </w:rPr>
        <w:t>, согласно приложения</w:t>
      </w:r>
      <w:r>
        <w:rPr>
          <w:rFonts w:ascii="Times New Roman" w:eastAsia="Times New Roman" w:hAnsi="Times New Roman" w:cs="Times New Roman"/>
          <w:sz w:val="24"/>
          <w:szCs w:val="24"/>
          <w:lang w:eastAsia="ru-RU"/>
        </w:rPr>
        <w:t>.</w:t>
      </w:r>
    </w:p>
    <w:p w:rsidR="00481574" w:rsidRPr="00365565"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2.  Опубликовать настоящее решение в информационном бюллетене </w:t>
      </w:r>
      <w:r w:rsidRPr="00365565">
        <w:rPr>
          <w:rFonts w:ascii="Times New Roman" w:eastAsia="Times New Roman" w:hAnsi="Times New Roman" w:cs="Times New Roman"/>
          <w:sz w:val="24"/>
          <w:szCs w:val="24"/>
          <w:lang w:eastAsia="ru-RU"/>
        </w:rPr>
        <w:t>«</w:t>
      </w:r>
      <w:r w:rsidR="00365565" w:rsidRPr="00365565">
        <w:rPr>
          <w:rFonts w:ascii="Times New Roman" w:eastAsia="Times New Roman" w:hAnsi="Times New Roman" w:cs="Times New Roman"/>
          <w:sz w:val="24"/>
          <w:szCs w:val="24"/>
          <w:lang w:eastAsia="ru-RU"/>
        </w:rPr>
        <w:t>Сельские ведомости</w:t>
      </w:r>
      <w:r w:rsidRPr="00365565">
        <w:rPr>
          <w:rFonts w:ascii="Times New Roman" w:eastAsia="Times New Roman" w:hAnsi="Times New Roman" w:cs="Times New Roman"/>
          <w:sz w:val="24"/>
          <w:szCs w:val="24"/>
          <w:lang w:eastAsia="ru-RU"/>
        </w:rPr>
        <w:t>».</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6801AC"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w:t>
      </w:r>
      <w:r w:rsidR="0044407A">
        <w:rPr>
          <w:rFonts w:ascii="Times New Roman" w:eastAsia="Times New Roman" w:hAnsi="Times New Roman" w:cs="Times New Roman"/>
          <w:sz w:val="24"/>
          <w:szCs w:val="24"/>
          <w:lang w:eastAsia="ru-RU"/>
        </w:rPr>
        <w:t>Большеумысского</w:t>
      </w:r>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rsidR="00481574" w:rsidRPr="006801AC" w:rsidRDefault="00481574" w:rsidP="00481574">
      <w:pPr>
        <w:widowControl w:val="0"/>
        <w:spacing w:after="120" w:line="240" w:lineRule="auto"/>
        <w:rPr>
          <w:rFonts w:ascii="Times New Roman" w:eastAsia="Times New Roman" w:hAnsi="Times New Roman" w:cs="Times New Roman"/>
          <w:sz w:val="24"/>
          <w:szCs w:val="20"/>
          <w:lang w:eastAsia="ru-RU"/>
        </w:rPr>
      </w:pPr>
    </w:p>
    <w:p w:rsidR="00481574" w:rsidRPr="00256B77"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sz w:val="24"/>
          <w:szCs w:val="24"/>
          <w:lang w:eastAsia="ru-RU"/>
        </w:rPr>
      </w:pPr>
      <w:r w:rsidRPr="00256B77">
        <w:rPr>
          <w:rFonts w:ascii="Times New Roman" w:eastAsia="Times New Roman" w:hAnsi="Times New Roman" w:cs="Arial"/>
          <w:sz w:val="24"/>
          <w:szCs w:val="24"/>
          <w:lang w:eastAsia="ru-RU"/>
        </w:rPr>
        <w:t xml:space="preserve">Глава </w:t>
      </w:r>
      <w:r w:rsidR="0044407A" w:rsidRPr="00256B77">
        <w:rPr>
          <w:rFonts w:ascii="Times New Roman" w:eastAsia="Times New Roman" w:hAnsi="Times New Roman" w:cs="Arial"/>
          <w:sz w:val="24"/>
          <w:szCs w:val="24"/>
          <w:lang w:eastAsia="ru-RU"/>
        </w:rPr>
        <w:t>Большеумысского</w:t>
      </w:r>
      <w:r w:rsidRPr="00256B77">
        <w:rPr>
          <w:rFonts w:ascii="Times New Roman" w:eastAsia="Times New Roman" w:hAnsi="Times New Roman" w:cs="Arial"/>
          <w:sz w:val="24"/>
          <w:szCs w:val="24"/>
          <w:lang w:eastAsia="ru-RU"/>
        </w:rPr>
        <w:t xml:space="preserve"> сельсовета</w:t>
      </w:r>
    </w:p>
    <w:p w:rsidR="00481574" w:rsidRPr="00256B77"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sz w:val="24"/>
          <w:szCs w:val="24"/>
          <w:lang w:eastAsia="ru-RU"/>
        </w:rPr>
      </w:pPr>
      <w:r w:rsidRPr="00256B77">
        <w:rPr>
          <w:rFonts w:ascii="Times New Roman" w:eastAsia="Times New Roman" w:hAnsi="Times New Roman" w:cs="Arial"/>
          <w:sz w:val="24"/>
          <w:szCs w:val="24"/>
          <w:lang w:eastAsia="ru-RU"/>
        </w:rPr>
        <w:t>Камешкирского района</w:t>
      </w:r>
    </w:p>
    <w:p w:rsidR="00481574" w:rsidRPr="00256B77" w:rsidRDefault="00481574" w:rsidP="00481574">
      <w:pPr>
        <w:widowControl w:val="0"/>
        <w:spacing w:after="0" w:line="240" w:lineRule="auto"/>
        <w:jc w:val="both"/>
        <w:rPr>
          <w:rFonts w:ascii="Times New Roman" w:eastAsia="Times New Roman" w:hAnsi="Times New Roman" w:cs="Times New Roman"/>
          <w:sz w:val="28"/>
          <w:szCs w:val="20"/>
          <w:lang w:eastAsia="ru-RU"/>
        </w:rPr>
      </w:pPr>
      <w:r w:rsidRPr="00256B77">
        <w:rPr>
          <w:rFonts w:ascii="Times New Roman" w:eastAsia="Times New Roman" w:hAnsi="Times New Roman" w:cs="Times New Roman"/>
          <w:sz w:val="24"/>
          <w:szCs w:val="24"/>
          <w:lang w:eastAsia="ru-RU"/>
        </w:rPr>
        <w:t xml:space="preserve">         Пензенской области</w:t>
      </w:r>
      <w:r w:rsidRPr="00256B77">
        <w:rPr>
          <w:rFonts w:ascii="Times New Roman" w:eastAsia="Times New Roman" w:hAnsi="Times New Roman" w:cs="Times New Roman"/>
          <w:sz w:val="24"/>
          <w:szCs w:val="24"/>
          <w:lang w:eastAsia="ru-RU"/>
        </w:rPr>
        <w:tab/>
      </w:r>
      <w:r w:rsidRPr="00256B77">
        <w:rPr>
          <w:rFonts w:ascii="Times New Roman" w:eastAsia="Times New Roman" w:hAnsi="Times New Roman" w:cs="Times New Roman"/>
          <w:sz w:val="24"/>
          <w:szCs w:val="24"/>
          <w:lang w:eastAsia="ru-RU"/>
        </w:rPr>
        <w:tab/>
      </w:r>
      <w:r w:rsidRPr="00256B77">
        <w:rPr>
          <w:rFonts w:ascii="Times New Roman" w:eastAsia="Times New Roman" w:hAnsi="Times New Roman" w:cs="Times New Roman"/>
          <w:sz w:val="24"/>
          <w:szCs w:val="24"/>
          <w:lang w:eastAsia="ru-RU"/>
        </w:rPr>
        <w:tab/>
      </w:r>
      <w:r w:rsidR="006F00C7" w:rsidRPr="00256B77">
        <w:rPr>
          <w:rFonts w:ascii="Times New Roman" w:eastAsia="Times New Roman" w:hAnsi="Times New Roman" w:cs="Times New Roman"/>
          <w:sz w:val="24"/>
          <w:szCs w:val="24"/>
          <w:lang w:eastAsia="ru-RU"/>
        </w:rPr>
        <w:t xml:space="preserve">                                         </w:t>
      </w:r>
      <w:r w:rsidR="009D7D51" w:rsidRPr="00256B77">
        <w:rPr>
          <w:rFonts w:ascii="Times New Roman" w:eastAsia="Times New Roman" w:hAnsi="Times New Roman" w:cs="Times New Roman"/>
          <w:sz w:val="24"/>
          <w:szCs w:val="24"/>
          <w:lang w:eastAsia="ru-RU"/>
        </w:rPr>
        <w:t>Ф</w:t>
      </w:r>
      <w:r w:rsidRPr="00256B77">
        <w:rPr>
          <w:rFonts w:ascii="Times New Roman" w:eastAsia="Times New Roman" w:hAnsi="Times New Roman" w:cs="Times New Roman"/>
          <w:sz w:val="24"/>
          <w:szCs w:val="24"/>
          <w:lang w:eastAsia="ru-RU"/>
        </w:rPr>
        <w:t xml:space="preserve">.В. </w:t>
      </w:r>
      <w:r w:rsidR="009D7D51" w:rsidRPr="00256B77">
        <w:rPr>
          <w:rFonts w:ascii="Times New Roman" w:eastAsia="Times New Roman" w:hAnsi="Times New Roman" w:cs="Times New Roman"/>
          <w:sz w:val="24"/>
          <w:szCs w:val="24"/>
          <w:lang w:eastAsia="ru-RU"/>
        </w:rPr>
        <w:t>Воробьев</w:t>
      </w: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8"/>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0" w:name="__RefHeading___Toc27727_3578142504"/>
      <w:bookmarkStart w:id="1" w:name="__RefHeading___Toc27733_3578142504"/>
      <w:bookmarkStart w:id="2" w:name="__RefHeading___Toc27793_3578142504"/>
      <w:bookmarkEnd w:id="0"/>
      <w:bookmarkEnd w:id="1"/>
      <w:bookmarkEnd w:id="2"/>
      <w:r w:rsidRPr="00396F43">
        <w:rPr>
          <w:rFonts w:ascii="Times New Roman" w:eastAsia="NSimSun" w:hAnsi="Times New Roman" w:cs="Times New Roman"/>
          <w:kern w:val="2"/>
          <w:sz w:val="20"/>
          <w:szCs w:val="20"/>
          <w:lang w:eastAsia="zh-CN" w:bidi="hi-IN"/>
        </w:rPr>
        <w:lastRenderedPageBreak/>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r w:rsidR="0044407A">
        <w:rPr>
          <w:rFonts w:ascii="Times New Roman" w:eastAsia="NSimSun" w:hAnsi="Times New Roman" w:cs="Times New Roman"/>
          <w:kern w:val="2"/>
          <w:sz w:val="20"/>
          <w:szCs w:val="20"/>
          <w:lang w:eastAsia="zh-CN" w:bidi="hi-IN"/>
        </w:rPr>
        <w:t>Большеумысского</w:t>
      </w:r>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8E7F6B">
        <w:rPr>
          <w:rFonts w:ascii="Times New Roman" w:eastAsia="Times New Roman" w:hAnsi="Times New Roman" w:cs="Times New Roman"/>
          <w:sz w:val="20"/>
          <w:szCs w:val="20"/>
          <w:lang w:eastAsia="ru-RU"/>
        </w:rPr>
        <w:t xml:space="preserve"> 14.09.2020г. </w:t>
      </w:r>
      <w:r w:rsidRPr="00396F43">
        <w:rPr>
          <w:rFonts w:ascii="Times New Roman" w:eastAsia="Times New Roman" w:hAnsi="Times New Roman" w:cs="Times New Roman"/>
          <w:sz w:val="20"/>
          <w:szCs w:val="20"/>
          <w:lang w:eastAsia="ru-RU"/>
        </w:rPr>
        <w:t xml:space="preserve"> № </w:t>
      </w:r>
      <w:r w:rsidR="00256B77">
        <w:rPr>
          <w:rFonts w:ascii="Times New Roman" w:eastAsia="Times New Roman" w:hAnsi="Times New Roman" w:cs="Times New Roman"/>
          <w:sz w:val="20"/>
          <w:szCs w:val="20"/>
          <w:lang w:eastAsia="ru-RU"/>
        </w:rPr>
        <w:t>80-23/7</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3" w:name="__RefHeading___Toc27735_3578142504"/>
      <w:bookmarkEnd w:id="3"/>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9D7D51" w:rsidRDefault="0044407A"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БОЛЬШЕУМЫССКОГО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r w:rsidR="0044407A">
        <w:rPr>
          <w:rFonts w:ascii="Times New Roman" w:eastAsia="Times New Roman" w:hAnsi="Times New Roman" w:cs="Times New Roman"/>
          <w:bCs/>
          <w:sz w:val="20"/>
          <w:szCs w:val="20"/>
          <w:lang w:eastAsia="ru-RU"/>
        </w:rPr>
        <w:t>Большеумысского</w:t>
      </w:r>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r w:rsidR="0044407A">
        <w:rPr>
          <w:rFonts w:ascii="Times New Roman" w:eastAsia="Times New Roman" w:hAnsi="Times New Roman" w:cs="Times New Roman"/>
          <w:bCs/>
          <w:sz w:val="20"/>
          <w:szCs w:val="20"/>
          <w:lang w:eastAsia="ru-RU"/>
        </w:rPr>
        <w:t>Большеумысского</w:t>
      </w:r>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4" w:name="__RefHeading___Toc27795_3578142504"/>
      <w:bookmarkEnd w:id="4"/>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п/п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tblPr>
      <w:tblGrid>
        <w:gridCol w:w="709"/>
        <w:gridCol w:w="2127"/>
        <w:gridCol w:w="284"/>
        <w:gridCol w:w="850"/>
        <w:gridCol w:w="992"/>
        <w:gridCol w:w="709"/>
        <w:gridCol w:w="141"/>
        <w:gridCol w:w="284"/>
        <w:gridCol w:w="1417"/>
        <w:gridCol w:w="567"/>
        <w:gridCol w:w="567"/>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1"/>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r w:rsidRPr="00396F43">
              <w:rPr>
                <w:rFonts w:ascii="Times New Roman" w:hAnsi="Times New Roman" w:cs="Times New Roman"/>
                <w:spacing w:val="-10"/>
                <w:szCs w:val="20"/>
              </w:rPr>
              <w:t>кВт</w:t>
            </w:r>
            <w:r w:rsidRPr="00396F43">
              <w:rPr>
                <w:rFonts w:ascii="Cambria Math" w:hAnsi="Cambria Math" w:cs="Cambria Math"/>
                <w:spacing w:val="-10"/>
                <w:szCs w:val="20"/>
              </w:rPr>
              <w:t>⋅.</w:t>
            </w:r>
            <w:r w:rsidRPr="00396F43">
              <w:rPr>
                <w:rFonts w:ascii="Times New Roman" w:hAnsi="Times New Roman" w:cs="Times New Roman"/>
                <w:spacing w:val="-10"/>
                <w:szCs w:val="20"/>
              </w:rPr>
              <w:t>ч/</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r w:rsidR="00B04B85" w:rsidRPr="00396F43">
              <w:rPr>
                <w:rFonts w:ascii="Times New Roman" w:hAnsi="Times New Roman" w:cs="Times New Roman"/>
                <w:szCs w:val="20"/>
              </w:rPr>
              <w:t>стационарных</w:t>
            </w:r>
            <w:r w:rsidRPr="00396F43">
              <w:rPr>
                <w:rFonts w:ascii="Times New Roman" w:hAnsi="Times New Roman" w:cs="Times New Roman"/>
                <w:szCs w:val="20"/>
              </w:rPr>
              <w:t xml:space="preserve"> </w:t>
            </w:r>
            <w:r w:rsidR="00B04B85" w:rsidRPr="00396F43">
              <w:rPr>
                <w:rFonts w:ascii="Times New Roman" w:hAnsi="Times New Roman" w:cs="Times New Roman"/>
                <w:szCs w:val="20"/>
              </w:rPr>
              <w:t>электроплит</w:t>
            </w:r>
            <w:r w:rsidRPr="00396F43">
              <w:rPr>
                <w:rFonts w:ascii="Times New Roman" w:hAnsi="Times New Roman" w:cs="Times New Roman"/>
                <w:szCs w:val="20"/>
              </w:rPr>
              <w:t>, без кондиционеров:</w:t>
            </w:r>
          </w:p>
        </w:tc>
        <w:tc>
          <w:tcPr>
            <w:tcW w:w="1842"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3"/>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r w:rsidR="00B04B85" w:rsidRPr="00396F43">
              <w:rPr>
                <w:rFonts w:ascii="Times New Roman" w:hAnsi="Times New Roman" w:cs="Times New Roman"/>
                <w:szCs w:val="20"/>
              </w:rPr>
              <w:t>стационарных</w:t>
            </w:r>
            <w:r w:rsidRPr="00396F43">
              <w:rPr>
                <w:rFonts w:ascii="Times New Roman" w:hAnsi="Times New Roman" w:cs="Times New Roman"/>
                <w:szCs w:val="20"/>
              </w:rPr>
              <w:t xml:space="preserve"> </w:t>
            </w:r>
            <w:r w:rsidR="00B04B85" w:rsidRPr="00396F43">
              <w:rPr>
                <w:rFonts w:ascii="Times New Roman" w:hAnsi="Times New Roman" w:cs="Times New Roman"/>
                <w:szCs w:val="20"/>
              </w:rPr>
              <w:t>электроплит</w:t>
            </w:r>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w:t>
            </w:r>
            <w:r w:rsidR="00B04B85" w:rsidRPr="00396F43">
              <w:rPr>
                <w:rFonts w:ascii="Times New Roman" w:hAnsi="Times New Roman" w:cs="Times New Roman"/>
                <w:szCs w:val="20"/>
              </w:rPr>
              <w:t>кондиционерами</w:t>
            </w:r>
            <w:r w:rsidRPr="00396F43">
              <w:rPr>
                <w:rFonts w:ascii="Times New Roman" w:hAnsi="Times New Roman" w:cs="Times New Roman"/>
                <w:szCs w:val="20"/>
              </w:rPr>
              <w:t>:</w:t>
            </w:r>
          </w:p>
        </w:tc>
        <w:tc>
          <w:tcPr>
            <w:tcW w:w="1842"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3"/>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2"/>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r w:rsidR="00B04B85" w:rsidRPr="00396F43">
              <w:rPr>
                <w:rFonts w:ascii="Times New Roman" w:hAnsi="Times New Roman" w:cs="Times New Roman"/>
                <w:bCs/>
                <w:szCs w:val="20"/>
              </w:rPr>
              <w:t>стационарными</w:t>
            </w:r>
            <w:r w:rsidRPr="00396F43">
              <w:rPr>
                <w:rFonts w:ascii="Times New Roman" w:hAnsi="Times New Roman" w:cs="Times New Roman"/>
                <w:bCs/>
                <w:szCs w:val="20"/>
              </w:rPr>
              <w:t xml:space="preserve"> </w:t>
            </w:r>
            <w:r w:rsidR="00B04B85" w:rsidRPr="00396F43">
              <w:rPr>
                <w:rFonts w:ascii="Times New Roman" w:hAnsi="Times New Roman" w:cs="Times New Roman"/>
                <w:bCs/>
                <w:szCs w:val="20"/>
              </w:rPr>
              <w:t>электроплитами</w:t>
            </w:r>
            <w:r w:rsidRPr="00396F43">
              <w:rPr>
                <w:rFonts w:ascii="Times New Roman" w:hAnsi="Times New Roman" w:cs="Times New Roman"/>
                <w:bCs/>
                <w:szCs w:val="20"/>
              </w:rPr>
              <w:t>, без кондиционеров:</w:t>
            </w:r>
          </w:p>
        </w:tc>
        <w:tc>
          <w:tcPr>
            <w:tcW w:w="1842"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3"/>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1"/>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 xml:space="preserve">&lt;1&gt; К объектам электроснабжения сельского поселения относятся объекты электроснабжения в  </w:t>
            </w:r>
            <w:r w:rsidRPr="00763252">
              <w:rPr>
                <w:rFonts w:ascii="Times New Roman" w:hAnsi="Times New Roman" w:cs="Times New Roman"/>
                <w:szCs w:val="20"/>
              </w:rPr>
              <w:lastRenderedPageBreak/>
              <w:t>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1"/>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r w:rsidR="00B04B85" w:rsidRPr="00396F43">
              <w:rPr>
                <w:rFonts w:ascii="Times New Roman" w:hAnsi="Times New Roman" w:cs="Times New Roman"/>
                <w:szCs w:val="20"/>
              </w:rPr>
              <w:t>централизованным</w:t>
            </w:r>
            <w:r w:rsidRPr="00396F43">
              <w:rPr>
                <w:rFonts w:ascii="Times New Roman" w:hAnsi="Times New Roman" w:cs="Times New Roman"/>
                <w:szCs w:val="20"/>
              </w:rPr>
              <w:t xml:space="preserve"> горячим </w:t>
            </w:r>
            <w:r w:rsidR="00B04B85" w:rsidRPr="00396F43">
              <w:rPr>
                <w:rFonts w:ascii="Times New Roman" w:hAnsi="Times New Roman" w:cs="Times New Roman"/>
                <w:szCs w:val="20"/>
              </w:rPr>
              <w:t>водоснабжением</w:t>
            </w:r>
          </w:p>
        </w:tc>
        <w:tc>
          <w:tcPr>
            <w:tcW w:w="1842"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r w:rsidR="00B04B85" w:rsidRPr="00396F43">
              <w:rPr>
                <w:rFonts w:ascii="Times New Roman" w:hAnsi="Times New Roman" w:cs="Times New Roman"/>
                <w:szCs w:val="20"/>
              </w:rPr>
              <w:t>водоснабжением</w:t>
            </w:r>
            <w:r w:rsidRPr="00396F43">
              <w:rPr>
                <w:rFonts w:ascii="Times New Roman" w:hAnsi="Times New Roman" w:cs="Times New Roman"/>
                <w:szCs w:val="20"/>
              </w:rPr>
              <w:br/>
              <w:t>от газовых</w:t>
            </w:r>
            <w:r w:rsidR="00B04B85">
              <w:rPr>
                <w:rFonts w:ascii="Times New Roman" w:hAnsi="Times New Roman" w:cs="Times New Roman"/>
                <w:szCs w:val="20"/>
              </w:rPr>
              <w:t xml:space="preserve"> </w:t>
            </w:r>
            <w:r w:rsidRPr="00396F43">
              <w:rPr>
                <w:rFonts w:ascii="Times New Roman" w:hAnsi="Times New Roman" w:cs="Times New Roman"/>
                <w:szCs w:val="20"/>
              </w:rPr>
              <w:t>водо</w:t>
            </w:r>
            <w:r w:rsidR="00B04B85" w:rsidRPr="00396F43">
              <w:rPr>
                <w:rFonts w:ascii="Times New Roman" w:hAnsi="Times New Roman" w:cs="Times New Roman"/>
                <w:szCs w:val="20"/>
              </w:rPr>
              <w:t>нагревателей</w:t>
            </w:r>
          </w:p>
        </w:tc>
        <w:tc>
          <w:tcPr>
            <w:tcW w:w="1842"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1"/>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&lt;1&gt; К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МДж/куб.м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1"/>
          </w:tcPr>
          <w:p w:rsidR="00396F43" w:rsidRPr="00396F43" w:rsidRDefault="00396F43" w:rsidP="00396F43">
            <w:pPr>
              <w:spacing w:before="100" w:beforeAutospacing="1" w:line="228" w:lineRule="auto"/>
              <w:rPr>
                <w:rFonts w:ascii="Times New Roman" w:hAnsi="Times New Roman" w:cs="Times New Roman"/>
                <w:szCs w:val="20"/>
              </w:rPr>
            </w:pPr>
            <w:bookmarkStart w:id="5" w:name="__DdeLink__124885_1016665667"/>
            <w:bookmarkEnd w:id="5"/>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 :</w:t>
            </w:r>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3"/>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r w:rsidR="00207DC9" w:rsidRPr="00396F43">
              <w:rPr>
                <w:rFonts w:ascii="Times New Roman" w:hAnsi="Times New Roman" w:cs="Times New Roman"/>
                <w:szCs w:val="20"/>
              </w:rPr>
              <w:t>наличии</w:t>
            </w:r>
            <w:r w:rsidRPr="00396F43">
              <w:rPr>
                <w:rFonts w:ascii="Times New Roman" w:hAnsi="Times New Roman" w:cs="Times New Roman"/>
                <w:szCs w:val="20"/>
              </w:rPr>
              <w:t xml:space="preserve"> в </w:t>
            </w:r>
            <w:r w:rsidR="00207DC9" w:rsidRPr="00396F43">
              <w:rPr>
                <w:rFonts w:ascii="Times New Roman" w:hAnsi="Times New Roman" w:cs="Times New Roman"/>
                <w:szCs w:val="20"/>
              </w:rPr>
              <w:t>квартире</w:t>
            </w:r>
            <w:r w:rsidRPr="00396F43">
              <w:rPr>
                <w:rFonts w:ascii="Times New Roman" w:hAnsi="Times New Roman" w:cs="Times New Roman"/>
                <w:szCs w:val="20"/>
              </w:rPr>
              <w:t xml:space="preserve"> </w:t>
            </w:r>
            <w:r w:rsidR="00207DC9" w:rsidRPr="00396F43">
              <w:rPr>
                <w:rFonts w:ascii="Times New Roman" w:hAnsi="Times New Roman" w:cs="Times New Roman"/>
                <w:szCs w:val="20"/>
              </w:rPr>
              <w:t>газовой</w:t>
            </w:r>
            <w:r w:rsidR="00207DC9">
              <w:rPr>
                <w:rFonts w:ascii="Times New Roman" w:hAnsi="Times New Roman" w:cs="Times New Roman"/>
                <w:szCs w:val="20"/>
              </w:rPr>
              <w:t xml:space="preserve"> плиты и цент</w:t>
            </w:r>
            <w:r w:rsidR="00207DC9" w:rsidRPr="00396F43">
              <w:rPr>
                <w:rFonts w:ascii="Times New Roman" w:hAnsi="Times New Roman" w:cs="Times New Roman"/>
                <w:szCs w:val="20"/>
              </w:rPr>
              <w:t>рализованного</w:t>
            </w:r>
            <w:r w:rsidRPr="00396F43">
              <w:rPr>
                <w:rFonts w:ascii="Times New Roman" w:hAnsi="Times New Roman" w:cs="Times New Roman"/>
                <w:szCs w:val="20"/>
              </w:rPr>
              <w:t xml:space="preserve"> </w:t>
            </w:r>
            <w:r w:rsidR="00207DC9" w:rsidRPr="00396F43">
              <w:rPr>
                <w:rFonts w:ascii="Times New Roman" w:hAnsi="Times New Roman" w:cs="Times New Roman"/>
                <w:szCs w:val="20"/>
              </w:rPr>
              <w:t>горячего</w:t>
            </w:r>
            <w:r w:rsidRPr="00396F43">
              <w:rPr>
                <w:rFonts w:ascii="Times New Roman" w:hAnsi="Times New Roman" w:cs="Times New Roman"/>
                <w:szCs w:val="20"/>
              </w:rPr>
              <w:t xml:space="preserve"> </w:t>
            </w:r>
            <w:r w:rsidR="00207DC9" w:rsidRPr="00396F43">
              <w:rPr>
                <w:rFonts w:ascii="Times New Roman" w:hAnsi="Times New Roman" w:cs="Times New Roman"/>
                <w:szCs w:val="20"/>
              </w:rPr>
              <w:t>водоснабжения</w:t>
            </w:r>
            <w:r w:rsidRPr="00396F43">
              <w:rPr>
                <w:rFonts w:ascii="Times New Roman" w:hAnsi="Times New Roman" w:cs="Times New Roman"/>
                <w:szCs w:val="20"/>
              </w:rPr>
              <w:t xml:space="preserve"> при </w:t>
            </w:r>
            <w:r w:rsidR="00207DC9" w:rsidRPr="00396F43">
              <w:rPr>
                <w:rFonts w:ascii="Times New Roman" w:hAnsi="Times New Roman" w:cs="Times New Roman"/>
                <w:szCs w:val="20"/>
              </w:rPr>
              <w:t>газоснабжении</w:t>
            </w:r>
            <w:r w:rsidRPr="00396F43">
              <w:rPr>
                <w:rFonts w:ascii="Times New Roman" w:hAnsi="Times New Roman" w:cs="Times New Roman"/>
                <w:szCs w:val="20"/>
              </w:rPr>
              <w:t xml:space="preserve"> </w:t>
            </w:r>
            <w:r w:rsidR="00207DC9" w:rsidRPr="00396F43">
              <w:rPr>
                <w:rFonts w:ascii="Times New Roman" w:hAnsi="Times New Roman" w:cs="Times New Roman"/>
                <w:szCs w:val="20"/>
              </w:rPr>
              <w:t>природным</w:t>
            </w:r>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газового </w:t>
            </w:r>
            <w:r w:rsidR="00207DC9" w:rsidRPr="00396F43">
              <w:rPr>
                <w:rFonts w:ascii="Times New Roman" w:hAnsi="Times New Roman" w:cs="Times New Roman"/>
                <w:szCs w:val="20"/>
              </w:rPr>
              <w:t>водонагревателя</w:t>
            </w:r>
            <w:r w:rsidR="00207DC9">
              <w:rPr>
                <w:rFonts w:ascii="Times New Roman" w:hAnsi="Times New Roman" w:cs="Times New Roman"/>
                <w:szCs w:val="20"/>
              </w:rPr>
              <w:t xml:space="preserve"> (при </w:t>
            </w:r>
            <w:r w:rsidR="00207DC9" w:rsidRPr="00396F43">
              <w:rPr>
                <w:rFonts w:ascii="Times New Roman" w:hAnsi="Times New Roman" w:cs="Times New Roman"/>
                <w:szCs w:val="20"/>
              </w:rPr>
              <w:t>отсутствии</w:t>
            </w:r>
            <w:r w:rsidRPr="00396F43">
              <w:rPr>
                <w:rFonts w:ascii="Times New Roman" w:hAnsi="Times New Roman" w:cs="Times New Roman"/>
                <w:szCs w:val="20"/>
              </w:rPr>
              <w:t xml:space="preserve"> </w:t>
            </w:r>
            <w:r w:rsidR="00207DC9" w:rsidRPr="00396F43">
              <w:rPr>
                <w:rFonts w:ascii="Times New Roman" w:hAnsi="Times New Roman" w:cs="Times New Roman"/>
                <w:szCs w:val="20"/>
              </w:rPr>
              <w:t>централизованного</w:t>
            </w:r>
            <w:r w:rsidRPr="00396F43">
              <w:rPr>
                <w:rFonts w:ascii="Times New Roman" w:hAnsi="Times New Roman" w:cs="Times New Roman"/>
                <w:szCs w:val="20"/>
              </w:rPr>
              <w:t xml:space="preserve"> горячего </w:t>
            </w:r>
            <w:r w:rsidR="00207DC9" w:rsidRPr="00396F43">
              <w:rPr>
                <w:rFonts w:ascii="Times New Roman" w:hAnsi="Times New Roman" w:cs="Times New Roman"/>
                <w:szCs w:val="20"/>
              </w:rPr>
              <w:t>водоснабжения</w:t>
            </w:r>
            <w:r w:rsidRPr="00396F43">
              <w:rPr>
                <w:rFonts w:ascii="Times New Roman" w:hAnsi="Times New Roman" w:cs="Times New Roman"/>
                <w:szCs w:val="20"/>
              </w:rPr>
              <w:t xml:space="preserve">) при </w:t>
            </w:r>
            <w:r w:rsidR="00207DC9" w:rsidRPr="00396F43">
              <w:rPr>
                <w:rFonts w:ascii="Times New Roman" w:hAnsi="Times New Roman" w:cs="Times New Roman"/>
                <w:szCs w:val="20"/>
              </w:rPr>
              <w:t>газоснабжении</w:t>
            </w:r>
            <w:r w:rsidRPr="00396F43">
              <w:rPr>
                <w:rFonts w:ascii="Times New Roman" w:hAnsi="Times New Roman" w:cs="Times New Roman"/>
                <w:szCs w:val="20"/>
              </w:rPr>
              <w:t xml:space="preserve"> </w:t>
            </w:r>
            <w:r w:rsidR="00207DC9" w:rsidRPr="00396F43">
              <w:rPr>
                <w:rFonts w:ascii="Times New Roman" w:hAnsi="Times New Roman" w:cs="Times New Roman"/>
                <w:szCs w:val="20"/>
              </w:rPr>
              <w:t>природным</w:t>
            </w:r>
            <w:r w:rsidRPr="00396F43">
              <w:rPr>
                <w:rFonts w:ascii="Times New Roman" w:hAnsi="Times New Roman" w:cs="Times New Roman"/>
                <w:szCs w:val="20"/>
              </w:rPr>
              <w:t xml:space="preserve"> газом</w:t>
            </w:r>
          </w:p>
        </w:tc>
        <w:tc>
          <w:tcPr>
            <w:tcW w:w="1417" w:type="dxa"/>
          </w:tcPr>
          <w:p w:rsidR="00396F43" w:rsidRPr="00396F43" w:rsidRDefault="00396F43" w:rsidP="00207DC9">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w:t>
            </w:r>
            <w:r w:rsidR="00207DC9" w:rsidRPr="00396F43">
              <w:rPr>
                <w:rFonts w:ascii="Times New Roman" w:hAnsi="Times New Roman" w:cs="Times New Roman"/>
                <w:szCs w:val="20"/>
              </w:rPr>
              <w:t>плиты</w:t>
            </w:r>
            <w:r w:rsidRPr="00396F43">
              <w:rPr>
                <w:rFonts w:ascii="Times New Roman" w:hAnsi="Times New Roman" w:cs="Times New Roman"/>
                <w:szCs w:val="20"/>
              </w:rPr>
              <w:t xml:space="preserve"> и </w:t>
            </w:r>
            <w:r w:rsidR="00207DC9" w:rsidRPr="00396F43">
              <w:rPr>
                <w:rFonts w:ascii="Times New Roman" w:hAnsi="Times New Roman" w:cs="Times New Roman"/>
                <w:szCs w:val="20"/>
              </w:rPr>
              <w:t>отсутствии</w:t>
            </w:r>
            <w:r w:rsidRPr="00396F43">
              <w:rPr>
                <w:rFonts w:ascii="Times New Roman" w:hAnsi="Times New Roman" w:cs="Times New Roman"/>
                <w:szCs w:val="20"/>
              </w:rPr>
              <w:t xml:space="preserve"> </w:t>
            </w:r>
            <w:r w:rsidR="00207DC9" w:rsidRPr="00396F43">
              <w:rPr>
                <w:rFonts w:ascii="Times New Roman" w:hAnsi="Times New Roman" w:cs="Times New Roman"/>
                <w:szCs w:val="20"/>
              </w:rPr>
              <w:t>централизо</w:t>
            </w:r>
            <w:r w:rsidR="00207DC9" w:rsidRPr="00396F43">
              <w:rPr>
                <w:rFonts w:ascii="Times New Roman" w:hAnsi="Times New Roman" w:cs="Times New Roman"/>
                <w:spacing w:val="-8"/>
                <w:szCs w:val="20"/>
              </w:rPr>
              <w:t>ванно</w:t>
            </w:r>
            <w:r w:rsidR="00207DC9" w:rsidRPr="00396F43">
              <w:rPr>
                <w:rFonts w:ascii="Times New Roman" w:hAnsi="Times New Roman" w:cs="Times New Roman"/>
                <w:szCs w:val="20"/>
              </w:rPr>
              <w:t>го</w:t>
            </w:r>
            <w:r w:rsidRPr="00396F43">
              <w:rPr>
                <w:rFonts w:ascii="Times New Roman" w:hAnsi="Times New Roman" w:cs="Times New Roman"/>
                <w:szCs w:val="20"/>
              </w:rPr>
              <w:t xml:space="preserve"> </w:t>
            </w:r>
            <w:r w:rsidR="00207DC9" w:rsidRPr="00396F43">
              <w:rPr>
                <w:rFonts w:ascii="Times New Roman" w:hAnsi="Times New Roman" w:cs="Times New Roman"/>
                <w:szCs w:val="20"/>
              </w:rPr>
              <w:t>горячего</w:t>
            </w:r>
            <w:r w:rsidRPr="00396F43">
              <w:rPr>
                <w:rFonts w:ascii="Times New Roman" w:hAnsi="Times New Roman" w:cs="Times New Roman"/>
                <w:szCs w:val="20"/>
              </w:rPr>
              <w:t xml:space="preserve"> </w:t>
            </w:r>
            <w:r w:rsidR="00207DC9" w:rsidRPr="00396F43">
              <w:rPr>
                <w:rFonts w:ascii="Times New Roman" w:hAnsi="Times New Roman" w:cs="Times New Roman"/>
                <w:szCs w:val="20"/>
              </w:rPr>
              <w:t>водоснабжения</w:t>
            </w:r>
            <w:r w:rsidR="00207DC9">
              <w:rPr>
                <w:rFonts w:ascii="Times New Roman" w:hAnsi="Times New Roman" w:cs="Times New Roman"/>
                <w:szCs w:val="20"/>
              </w:rPr>
              <w:t xml:space="preserve"> и газового водо</w:t>
            </w:r>
            <w:r w:rsidR="00207DC9" w:rsidRPr="00396F43">
              <w:rPr>
                <w:rFonts w:ascii="Times New Roman" w:hAnsi="Times New Roman" w:cs="Times New Roman"/>
                <w:szCs w:val="20"/>
              </w:rPr>
              <w:t>нагревателя</w:t>
            </w:r>
            <w:r w:rsidRPr="00396F43">
              <w:rPr>
                <w:rFonts w:ascii="Times New Roman" w:hAnsi="Times New Roman" w:cs="Times New Roman"/>
                <w:szCs w:val="20"/>
              </w:rPr>
              <w:t xml:space="preserve"> при </w:t>
            </w:r>
            <w:r w:rsidR="00207DC9" w:rsidRPr="00396F43">
              <w:rPr>
                <w:rFonts w:ascii="Times New Roman" w:hAnsi="Times New Roman" w:cs="Times New Roman"/>
                <w:szCs w:val="20"/>
              </w:rPr>
              <w:t>газоснабжении</w:t>
            </w:r>
            <w:r w:rsidRPr="00396F43">
              <w:rPr>
                <w:rFonts w:ascii="Times New Roman" w:hAnsi="Times New Roman" w:cs="Times New Roman"/>
                <w:szCs w:val="20"/>
              </w:rPr>
              <w:t xml:space="preserve"> </w:t>
            </w:r>
            <w:r w:rsidR="00207DC9" w:rsidRPr="00396F43">
              <w:rPr>
                <w:rFonts w:ascii="Times New Roman" w:hAnsi="Times New Roman" w:cs="Times New Roman"/>
                <w:szCs w:val="20"/>
              </w:rPr>
              <w:t>природным</w:t>
            </w:r>
            <w:r w:rsidRPr="00396F43">
              <w:rPr>
                <w:rFonts w:ascii="Times New Roman" w:hAnsi="Times New Roman" w:cs="Times New Roman"/>
                <w:szCs w:val="20"/>
              </w:rPr>
              <w:t xml:space="preserve"> газом</w:t>
            </w:r>
          </w:p>
        </w:tc>
        <w:tc>
          <w:tcPr>
            <w:tcW w:w="2358" w:type="dxa"/>
            <w:gridSpan w:val="3"/>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3"/>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1"/>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lastRenderedPageBreak/>
              <w:t>4</w:t>
            </w:r>
          </w:p>
        </w:tc>
        <w:tc>
          <w:tcPr>
            <w:tcW w:w="9162" w:type="dxa"/>
            <w:gridSpan w:val="11"/>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9D7D51">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r w:rsidR="00396F43" w:rsidRPr="00396F43">
              <w:rPr>
                <w:rFonts w:ascii="Times New Roman" w:hAnsi="Times New Roman" w:cs="Times New Roman"/>
                <w:szCs w:val="20"/>
              </w:rPr>
              <w:t>.</w:t>
            </w:r>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л/сут.</w:t>
            </w:r>
          </w:p>
        </w:tc>
        <w:tc>
          <w:tcPr>
            <w:tcW w:w="4110" w:type="dxa"/>
            <w:gridSpan w:val="6"/>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9D7D51">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842"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r w:rsidR="00B04B85" w:rsidRPr="00396F43">
              <w:rPr>
                <w:rFonts w:ascii="Times New Roman" w:hAnsi="Times New Roman" w:cs="Times New Roman"/>
                <w:szCs w:val="20"/>
              </w:rPr>
              <w:t>оборудованными</w:t>
            </w:r>
            <w:r w:rsidRPr="00396F43">
              <w:rPr>
                <w:rFonts w:ascii="Times New Roman" w:hAnsi="Times New Roman" w:cs="Times New Roman"/>
                <w:szCs w:val="20"/>
              </w:rPr>
              <w:t xml:space="preserve"> внутренним</w:t>
            </w:r>
            <w:r w:rsidR="00B04B85">
              <w:rPr>
                <w:rFonts w:ascii="Times New Roman" w:hAnsi="Times New Roman" w:cs="Times New Roman"/>
                <w:szCs w:val="20"/>
              </w:rPr>
              <w:t xml:space="preserve"> </w:t>
            </w:r>
            <w:r w:rsidR="00B04B85" w:rsidRPr="00396F43">
              <w:rPr>
                <w:rFonts w:ascii="Times New Roman" w:hAnsi="Times New Roman" w:cs="Times New Roman"/>
                <w:szCs w:val="20"/>
              </w:rPr>
              <w:t>водопроводом</w:t>
            </w:r>
            <w:r w:rsidRPr="00396F43">
              <w:rPr>
                <w:rFonts w:ascii="Times New Roman" w:hAnsi="Times New Roman" w:cs="Times New Roman"/>
                <w:szCs w:val="20"/>
              </w:rPr>
              <w:t xml:space="preserve"> и </w:t>
            </w:r>
            <w:r w:rsidR="00B04B85" w:rsidRPr="00396F43">
              <w:rPr>
                <w:rFonts w:ascii="Times New Roman" w:hAnsi="Times New Roman" w:cs="Times New Roman"/>
                <w:szCs w:val="20"/>
              </w:rPr>
              <w:t>канализацией</w:t>
            </w:r>
            <w:r w:rsidRPr="00396F43">
              <w:rPr>
                <w:rFonts w:ascii="Times New Roman" w:hAnsi="Times New Roman" w:cs="Times New Roman"/>
                <w:szCs w:val="20"/>
              </w:rPr>
              <w:t xml:space="preserve">, с ванными и местными </w:t>
            </w:r>
            <w:r w:rsidR="00B04B85" w:rsidRPr="00396F43">
              <w:rPr>
                <w:rFonts w:ascii="Times New Roman" w:hAnsi="Times New Roman" w:cs="Times New Roman"/>
                <w:szCs w:val="20"/>
              </w:rPr>
              <w:t>водонагревателями</w:t>
            </w:r>
          </w:p>
        </w:tc>
        <w:tc>
          <w:tcPr>
            <w:tcW w:w="2268"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r w:rsidR="00B04B85" w:rsidRPr="00396F43">
              <w:rPr>
                <w:rFonts w:ascii="Times New Roman" w:hAnsi="Times New Roman" w:cs="Times New Roman"/>
                <w:szCs w:val="20"/>
              </w:rPr>
              <w:t>централизованным</w:t>
            </w:r>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9D7D51">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842"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268"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1"/>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1"/>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9D7D51">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л/сут.</w:t>
            </w:r>
          </w:p>
        </w:tc>
        <w:tc>
          <w:tcPr>
            <w:tcW w:w="4110" w:type="dxa"/>
            <w:gridSpan w:val="6"/>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9D7D51">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842"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r w:rsidR="00E558EA" w:rsidRPr="00396F43">
              <w:rPr>
                <w:rFonts w:ascii="Times New Roman" w:hAnsi="Times New Roman" w:cs="Times New Roman"/>
                <w:szCs w:val="20"/>
              </w:rPr>
              <w:t>оборудованными</w:t>
            </w:r>
            <w:r w:rsidRPr="00396F43">
              <w:rPr>
                <w:rFonts w:ascii="Times New Roman" w:hAnsi="Times New Roman" w:cs="Times New Roman"/>
                <w:szCs w:val="20"/>
              </w:rPr>
              <w:t xml:space="preserve"> внутренним</w:t>
            </w:r>
            <w:r w:rsidR="00E558EA">
              <w:rPr>
                <w:rFonts w:ascii="Times New Roman" w:hAnsi="Times New Roman" w:cs="Times New Roman"/>
                <w:szCs w:val="20"/>
              </w:rPr>
              <w:t xml:space="preserve"> </w:t>
            </w:r>
            <w:r w:rsidR="00E558EA" w:rsidRPr="00396F43">
              <w:rPr>
                <w:rFonts w:ascii="Times New Roman" w:hAnsi="Times New Roman" w:cs="Times New Roman"/>
                <w:szCs w:val="20"/>
              </w:rPr>
              <w:t>водопроводом</w:t>
            </w:r>
            <w:r w:rsidRPr="00396F43">
              <w:rPr>
                <w:rFonts w:ascii="Times New Roman" w:hAnsi="Times New Roman" w:cs="Times New Roman"/>
                <w:szCs w:val="20"/>
              </w:rPr>
              <w:t xml:space="preserve"> и </w:t>
            </w:r>
            <w:r w:rsidR="00E558EA" w:rsidRPr="00396F43">
              <w:rPr>
                <w:rFonts w:ascii="Times New Roman" w:hAnsi="Times New Roman" w:cs="Times New Roman"/>
                <w:szCs w:val="20"/>
              </w:rPr>
              <w:t>канализацией</w:t>
            </w:r>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r w:rsidR="00E558EA" w:rsidRPr="00396F43">
              <w:rPr>
                <w:rFonts w:ascii="Times New Roman" w:hAnsi="Times New Roman" w:cs="Times New Roman"/>
                <w:szCs w:val="20"/>
              </w:rPr>
              <w:t>водонагревателями</w:t>
            </w:r>
          </w:p>
        </w:tc>
        <w:tc>
          <w:tcPr>
            <w:tcW w:w="2268"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r w:rsidR="00E558EA" w:rsidRPr="00396F43">
              <w:rPr>
                <w:rFonts w:ascii="Times New Roman" w:hAnsi="Times New Roman" w:cs="Times New Roman"/>
                <w:szCs w:val="20"/>
              </w:rPr>
              <w:t>водоснабжением</w:t>
            </w: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9D7D51">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842"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268"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1791"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1"/>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п/п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км/кв.км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6" w:name="__RefHeading___Toc27801_3578142504"/>
      <w:bookmarkEnd w:id="6"/>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п/п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по заданию на</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9"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9D7D51">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r w:rsidR="00BA57D9" w:rsidRPr="00DE2656">
              <w:rPr>
                <w:rFonts w:ascii="Times New Roman" w:eastAsia="Times New Roman" w:hAnsi="Times New Roman" w:cs="Times New Roman"/>
                <w:kern w:val="2"/>
                <w:sz w:val="20"/>
                <w:szCs w:val="20"/>
                <w:lang w:eastAsia="zh-CN"/>
              </w:rPr>
              <w:t>рекомендуется</w:t>
            </w:r>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9D7D51">
            <w:pPr>
              <w:jc w:val="center"/>
              <w:rPr>
                <w:rFonts w:ascii="Times New Roman" w:eastAsia="Times New Roman" w:hAnsi="Times New Roman" w:cs="Times New Roman"/>
                <w:kern w:val="2"/>
                <w:sz w:val="20"/>
                <w:szCs w:val="20"/>
                <w:lang w:eastAsia="zh-CN"/>
              </w:rPr>
            </w:pPr>
          </w:p>
        </w:tc>
      </w:tr>
      <w:tr w:rsidR="00DE2656" w:rsidRPr="00DE2656" w:rsidTr="009D7D51">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по заданию на</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9D7D51">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9D7D51">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Минспорта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Минспорта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r w:rsidR="00BA57D9" w:rsidRPr="00396F43">
              <w:rPr>
                <w:rFonts w:ascii="Times New Roman" w:eastAsia="Arial" w:hAnsi="Times New Roman" w:cs="Times New Roman"/>
                <w:szCs w:val="20"/>
              </w:rPr>
              <w:t>административный</w:t>
            </w:r>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r w:rsidR="00BA57D9" w:rsidRPr="00396F43">
              <w:rPr>
                <w:rFonts w:ascii="Times New Roman" w:eastAsia="Arial" w:hAnsi="Times New Roman" w:cs="Times New Roman"/>
                <w:szCs w:val="20"/>
              </w:rPr>
              <w:t>административный</w:t>
            </w:r>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r w:rsidR="00BA57D9" w:rsidRPr="00396F43">
              <w:rPr>
                <w:rFonts w:ascii="Times New Roman" w:eastAsia="Arial" w:hAnsi="Times New Roman" w:cs="Times New Roman"/>
                <w:szCs w:val="20"/>
              </w:rPr>
              <w:t>административный</w:t>
            </w:r>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 xml:space="preserve">1 тыс. </w:t>
            </w:r>
            <w:r w:rsidRPr="00396F43">
              <w:rPr>
                <w:rFonts w:ascii="Times New Roman" w:hAnsi="Times New Roman" w:cs="Times New Roman"/>
                <w:szCs w:val="20"/>
              </w:rPr>
              <w:lastRenderedPageBreak/>
              <w:t>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lastRenderedPageBreak/>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lastRenderedPageBreak/>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на  </w:t>
            </w:r>
            <w:r w:rsidRPr="00396F43">
              <w:rPr>
                <w:rFonts w:ascii="Times New Roman" w:eastAsia="Arial" w:hAnsi="Times New Roman" w:cs="Times New Roman"/>
                <w:szCs w:val="20"/>
              </w:rPr>
              <w:br/>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65565"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15</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65565"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18</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 (*) 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Вело-,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lastRenderedPageBreak/>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lastRenderedPageBreak/>
              <w:t>га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lastRenderedPageBreak/>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 (*) Зоны отдыха формируемые на базе озелененных территорий общего пользования, природных и 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 (**) 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кг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кг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7"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7"/>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lastRenderedPageBreak/>
        <w:t>а) (*) 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 (**) 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&lt;*&gt;</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ез учета площади, предназначенной для размещения оргтехоснастки.</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8" w:name="__RefHeading___Toc28753_3578142504"/>
      <w:bookmarkEnd w:id="8"/>
      <w:r w:rsidRPr="00396F43">
        <w:rPr>
          <w:rFonts w:ascii="Times New Roman" w:eastAsia="Microsoft YaHei" w:hAnsi="Times New Roman" w:cs="Arial"/>
          <w:b/>
          <w:bCs/>
          <w:kern w:val="2"/>
          <w:sz w:val="20"/>
          <w:szCs w:val="20"/>
          <w:lang w:eastAsia="zh-CN" w:bidi="hi-IN"/>
        </w:rPr>
        <w:t xml:space="preserve">1.11. </w:t>
      </w:r>
      <w:bookmarkStart w:id="9"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9"/>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п/п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0" w:name="__DdeLink__577518_1398760028"/>
            <w:bookmarkEnd w:id="10"/>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B531DE"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r w:rsidR="00690649" w:rsidRPr="00396F43">
              <w:rPr>
                <w:rFonts w:ascii="Times New Roman" w:eastAsia="Arial" w:hAnsi="Times New Roman" w:cs="Times New Roman"/>
                <w:szCs w:val="20"/>
              </w:rPr>
              <w:t>Урновых</w:t>
            </w:r>
            <w:r w:rsidRPr="00396F43">
              <w:rPr>
                <w:rFonts w:ascii="Times New Roman" w:eastAsia="Arial" w:hAnsi="Times New Roman" w:cs="Times New Roman"/>
                <w:szCs w:val="20"/>
              </w:rPr>
              <w:t xml:space="preserve"> за</w:t>
            </w:r>
            <w:bookmarkStart w:id="11" w:name="_GoBack4"/>
            <w:bookmarkEnd w:id="11"/>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lastRenderedPageBreak/>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lastRenderedPageBreak/>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&lt;**&gt; Пропускная способность крематория определяется в среднем из расчета один час на одну 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5</w:t>
            </w:r>
          </w:p>
          <w:p w:rsidR="00396F43" w:rsidRPr="00396F43" w:rsidRDefault="00B531DE"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B531DE"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B531D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B531D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B531D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B531D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B531DE"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B531DE"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B531DE"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r w:rsidR="00730D9A" w:rsidRPr="00396F43">
              <w:rPr>
                <w:rFonts w:ascii="Times New Roman" w:hAnsi="Times New Roman" w:cs="Times New Roman"/>
                <w:szCs w:val="20"/>
              </w:rPr>
              <w:t>придомовой</w:t>
            </w:r>
            <w:r w:rsidR="00730D9A">
              <w:rPr>
                <w:rFonts w:ascii="Times New Roman" w:hAnsi="Times New Roman" w:cs="Times New Roman"/>
                <w:szCs w:val="20"/>
              </w:rPr>
              <w:t xml:space="preserve"> </w:t>
            </w:r>
            <w:r w:rsidR="00730D9A" w:rsidRPr="00396F43">
              <w:rPr>
                <w:rFonts w:ascii="Times New Roman" w:hAnsi="Times New Roman" w:cs="Times New Roman"/>
                <w:szCs w:val="20"/>
              </w:rPr>
              <w:t>территории</w:t>
            </w:r>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B531DE"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B531DE"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B531DE"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B531DE" w:rsidP="00396F43">
            <w:pPr>
              <w:widowControl w:val="0"/>
              <w:numPr>
                <w:ilvl w:val="0"/>
                <w:numId w:val="3"/>
              </w:numPr>
              <w:ind w:firstLine="567"/>
              <w:contextualSpacing/>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2" w:name="__RefHeading___Toc256732_3667955767"/>
      <w:bookmarkEnd w:id="12"/>
      <w:r w:rsidRPr="00396F43">
        <w:rPr>
          <w:rFonts w:ascii="Times New Roman" w:eastAsia="Microsoft YaHei" w:hAnsi="Times New Roman" w:cs="Arial"/>
          <w:b/>
          <w:bCs/>
          <w:kern w:val="2"/>
          <w:sz w:val="20"/>
          <w:szCs w:val="20"/>
          <w:lang w:eastAsia="zh-CN" w:bidi="hi-IN"/>
        </w:rPr>
        <w:t xml:space="preserve">1.13. </w:t>
      </w:r>
      <w:bookmarkStart w:id="13" w:name="__DdeLink__5825422_33569450851"/>
      <w:bookmarkStart w:id="14" w:name="__DdeLink__253110_1171560442"/>
      <w:r w:rsidRPr="00396F43">
        <w:rPr>
          <w:rFonts w:ascii="Times New Roman" w:eastAsia="Microsoft YaHei" w:hAnsi="Times New Roman" w:cs="Arial"/>
          <w:b/>
          <w:bCs/>
          <w:kern w:val="2"/>
          <w:sz w:val="20"/>
          <w:szCs w:val="20"/>
          <w:lang w:eastAsia="zh-CN" w:bidi="hi-IN"/>
        </w:rPr>
        <w:t>Объекты</w:t>
      </w:r>
      <w:bookmarkEnd w:id="13"/>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4"/>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5" w:name="__DdeLink__287181_2558933218"/>
            <w:r w:rsidRPr="00396F43">
              <w:rPr>
                <w:rFonts w:ascii="Times New Roman" w:hAnsi="Times New Roman" w:cs="Times New Roman"/>
                <w:b/>
                <w:bCs/>
                <w:szCs w:val="20"/>
              </w:rPr>
              <w:t>Стоянки автомобилей</w:t>
            </w:r>
            <w:bookmarkEnd w:id="15"/>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w:t>
            </w:r>
            <w:r w:rsidRPr="00396F43">
              <w:rPr>
                <w:rFonts w:ascii="Times New Roman" w:eastAsia="Arial" w:hAnsi="Times New Roman" w:cs="Times New Roman"/>
                <w:szCs w:val="20"/>
              </w:rPr>
              <w:lastRenderedPageBreak/>
              <w:t xml:space="preserve">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машино-место на </w:t>
            </w:r>
            <w:r w:rsidRPr="00396F43">
              <w:rPr>
                <w:rFonts w:ascii="Times New Roman" w:eastAsia="Arial" w:hAnsi="Times New Roman" w:cs="Times New Roman"/>
                <w:szCs w:val="20"/>
              </w:rPr>
              <w:br/>
              <w:t>1000 чел.)</w:t>
            </w:r>
          </w:p>
          <w:p w:rsidR="00396F43" w:rsidRPr="00396F43" w:rsidRDefault="00B531DE"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lastRenderedPageBreak/>
              <w:t xml:space="preserve">определяется по </w:t>
            </w:r>
            <w:r w:rsidRPr="00396F43">
              <w:rPr>
                <w:rFonts w:ascii="Times New Roman" w:eastAsia="Times New Roman" w:hAnsi="Times New Roman" w:cs="Times New Roman"/>
                <w:szCs w:val="20"/>
              </w:rPr>
              <w:lastRenderedPageBreak/>
              <w:t>расчету в зависимости  от уровня автомобилизации в муниципальном образовании</w:t>
            </w:r>
          </w:p>
          <w:p w:rsidR="00396F43" w:rsidRPr="00396F43" w:rsidRDefault="00B531DE"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 машино-место на 1000 чел.)</w:t>
            </w:r>
          </w:p>
          <w:p w:rsidR="00396F43" w:rsidRPr="00396F43" w:rsidRDefault="00B531DE"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B531DE"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B531DE"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&lt;1&gt;</w:t>
              </w:r>
            </w:hyperlink>
            <w:r w:rsidR="00396F43" w:rsidRPr="00396F43">
              <w:rPr>
                <w:rFonts w:ascii="Times New Roman" w:hAnsi="Times New Roman" w:cs="Times New Roman"/>
                <w:szCs w:val="20"/>
              </w:rPr>
              <w:t xml:space="preserve"> Допускается в качестве единицы измерения принимать 1 машино-место на 100 (10) человек, 1 машино-место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B531DE"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машино-мест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B531DE"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машино-мест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B531DE"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2-3 </w:t>
            </w:r>
            <w:r w:rsidR="00690649" w:rsidRPr="00396F43">
              <w:rPr>
                <w:rFonts w:ascii="Times New Roman" w:hAnsi="Times New Roman" w:cs="Times New Roman"/>
                <w:szCs w:val="20"/>
              </w:rPr>
              <w:t>преподавателя</w:t>
            </w:r>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машино-мест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40-</w:t>
            </w:r>
            <w:r w:rsidRPr="00396F43">
              <w:rPr>
                <w:rFonts w:ascii="Times New Roman" w:hAnsi="Times New Roman" w:cs="Times New Roman"/>
                <w:szCs w:val="20"/>
              </w:rPr>
              <w:lastRenderedPageBreak/>
              <w:t>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lastRenderedPageBreak/>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машино-мест на 5-6 </w:t>
            </w:r>
            <w:r w:rsidR="00690649" w:rsidRPr="00396F43">
              <w:rPr>
                <w:rFonts w:ascii="Times New Roman" w:hAnsi="Times New Roman" w:cs="Times New Roman"/>
                <w:szCs w:val="20"/>
              </w:rPr>
              <w:t>единовременных</w:t>
            </w:r>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6-8 </w:t>
            </w:r>
            <w:r w:rsidR="00690649" w:rsidRPr="00396F43">
              <w:rPr>
                <w:rFonts w:ascii="Times New Roman" w:hAnsi="Times New Roman" w:cs="Times New Roman"/>
                <w:szCs w:val="20"/>
              </w:rPr>
              <w:t>единовременных</w:t>
            </w:r>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(фитнес-клубы,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кв.м</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машино-мест  </w:t>
            </w:r>
            <w:r w:rsidRPr="00396F43">
              <w:rPr>
                <w:rFonts w:ascii="Times New Roman" w:hAnsi="Times New Roman" w:cs="Times New Roman"/>
                <w:szCs w:val="20"/>
              </w:rPr>
              <w:br/>
              <w:t xml:space="preserve">на 10 </w:t>
            </w:r>
            <w:r w:rsidR="00690649" w:rsidRPr="00396F43">
              <w:rPr>
                <w:rFonts w:ascii="Times New Roman" w:hAnsi="Times New Roman" w:cs="Times New Roman"/>
                <w:szCs w:val="20"/>
              </w:rPr>
              <w:t>единовременных</w:t>
            </w:r>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w:t>
            </w:r>
            <w:r w:rsidRPr="00396F43">
              <w:rPr>
                <w:rFonts w:ascii="Times New Roman" w:hAnsi="Times New Roman" w:cs="Times New Roman"/>
                <w:szCs w:val="20"/>
              </w:rPr>
              <w:br/>
              <w:t xml:space="preserve">на 5-7 </w:t>
            </w:r>
            <w:r w:rsidR="00690649" w:rsidRPr="00396F43">
              <w:rPr>
                <w:rFonts w:ascii="Times New Roman" w:hAnsi="Times New Roman" w:cs="Times New Roman"/>
                <w:szCs w:val="20"/>
              </w:rPr>
              <w:t>единовременных</w:t>
            </w:r>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машино-мест на 100 </w:t>
            </w:r>
            <w:r w:rsidR="00690649" w:rsidRPr="00396F43">
              <w:rPr>
                <w:rFonts w:ascii="Times New Roman" w:hAnsi="Times New Roman" w:cs="Times New Roman"/>
                <w:szCs w:val="20"/>
              </w:rPr>
              <w:t>единовременных</w:t>
            </w:r>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w:t>
            </w:r>
            <w:r w:rsidR="00690649" w:rsidRPr="00396F43">
              <w:rPr>
                <w:rFonts w:ascii="Times New Roman" w:hAnsi="Times New Roman" w:cs="Times New Roman"/>
                <w:szCs w:val="20"/>
              </w:rPr>
              <w:t>единовременных</w:t>
            </w:r>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машино-мест на 100 </w:t>
            </w:r>
            <w:r w:rsidR="00690649" w:rsidRPr="00396F43">
              <w:rPr>
                <w:rFonts w:ascii="Times New Roman" w:hAnsi="Times New Roman" w:cs="Times New Roman"/>
                <w:szCs w:val="20"/>
              </w:rPr>
              <w:t>единовременных</w:t>
            </w:r>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w:t>
            </w:r>
            <w:r w:rsidR="00690649" w:rsidRPr="00396F43">
              <w:rPr>
                <w:rFonts w:ascii="Times New Roman" w:hAnsi="Times New Roman" w:cs="Times New Roman"/>
                <w:szCs w:val="20"/>
              </w:rPr>
              <w:lastRenderedPageBreak/>
              <w:t>единовременных</w:t>
            </w:r>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00690649" w:rsidRPr="00396F43">
              <w:rPr>
                <w:rFonts w:ascii="Times New Roman" w:hAnsi="Times New Roman" w:cs="Times New Roman"/>
                <w:spacing w:val="-10"/>
                <w:szCs w:val="20"/>
              </w:rPr>
              <w:t>доступность,</w:t>
            </w:r>
            <w:r w:rsidR="00690649"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B531DE" w:rsidP="00396F43">
            <w:pPr>
              <w:spacing w:line="230" w:lineRule="auto"/>
              <w:ind w:firstLine="709"/>
              <w:contextualSpacing/>
              <w:jc w:val="both"/>
              <w:rPr>
                <w:rFonts w:ascii="Times New Roman" w:hAnsi="Times New Roman" w:cs="Times New Roman"/>
                <w:color w:val="333333"/>
                <w:szCs w:val="20"/>
                <w:highlight w:val="white"/>
              </w:rPr>
            </w:pPr>
            <w:hyperlink r:id="rId10">
              <w:r w:rsidRPr="00B531DE">
                <w:rPr>
                  <w:noProof/>
                  <w:color w:val="0000FF"/>
                  <w:u w:val="single"/>
                  <w:lang w:eastAsia="ru-RU"/>
                </w:rPr>
                <w:pict>
                  <v:rect id="Прямоугольник 3" o:spid="_x0000_s1026" style="position:absolute;margin-left:0;margin-top:.05pt;width:1.85pt;height:1.75pt;z-index:251659264;visibility:visible;mso-position-horizontal:left;mso-position-horizontal-relative:char;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w:r>
              <w:r w:rsidRPr="00B531DE">
                <w:rPr>
                  <w:noProof/>
                  <w:color w:val="0000FF"/>
                  <w:u w:val="single"/>
                  <w:lang w:eastAsia="ru-RU"/>
                </w:rPr>
                <w:pict>
                  <v:rect id="Прямоугольник 6" o:spid="_x0000_s1027" style="position:absolute;margin-left:0;margin-top:.05pt;width:1.85pt;height:1.75pt;z-index:251660288;visibility:visible;mso-position-horizontal:left;mso-position-horizontal-relative:char;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66"/>
        <w:gridCol w:w="2355"/>
        <w:gridCol w:w="2053"/>
        <w:gridCol w:w="1810"/>
        <w:gridCol w:w="1388"/>
        <w:gridCol w:w="1007"/>
      </w:tblGrid>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N п/п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9D7D51">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9D7D51">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6" w:name="P2655"/>
            <w:bookmarkEnd w:id="16"/>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улицы и дороги местного значения, либо находящиеся в составе поперечного профиля указанных </w:t>
            </w:r>
            <w:r w:rsidRPr="0018430E">
              <w:rPr>
                <w:rFonts w:ascii="Times New Roman" w:eastAsia="Times New Roman" w:hAnsi="Times New Roman" w:cs="Times New Roman"/>
                <w:kern w:val="2"/>
                <w:sz w:val="20"/>
                <w:szCs w:val="20"/>
                <w:lang w:eastAsia="zh-CN"/>
              </w:rPr>
              <w:lastRenderedPageBreak/>
              <w:t>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82"/>
            <w:bookmarkEnd w:id="17"/>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8" w:name="P2701"/>
            <w:bookmarkEnd w:id="18"/>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(велопешеходные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кварталов (передвижение внутри квартала, велотранспортные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микрорайонов (передвижение внутри микрорайона, велотранспортные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велотранспортные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w:t>
            </w:r>
            <w:r w:rsidRPr="0018430E">
              <w:rPr>
                <w:rFonts w:ascii="Times New Roman" w:eastAsia="Times New Roman" w:hAnsi="Times New Roman" w:cs="Times New Roman"/>
                <w:kern w:val="2"/>
                <w:sz w:val="20"/>
                <w:szCs w:val="20"/>
                <w:lang w:eastAsia="zh-CN"/>
              </w:rPr>
              <w:lastRenderedPageBreak/>
              <w:t>рекреационная), роли в масштабе муниципального образования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проектировании и устройстве велополос, велопешеходных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велополосы, велопешеходные дорожки необходимо проектировать таким образом, чтобы они обеспечивали непрерывность всего комплекса пешеходных и велотранспортных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велотранспортные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велополосы и велопешеходные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обустройство велопешеходных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решетки водостока, размещаемые при необходимости на велопешеходных дорожках и велополосах,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Велополосы на сети дорог выделяются и обозначаются дорожными знаками и разметкой в соответствии с Правилами дорожного движения 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и велопешеходные дорожки, образующие велотранспортные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Веломаршруты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Р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Во дворах жилых домов велополосы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25"/>
            <w:bookmarkEnd w:id="19"/>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6"/>
            <w:bookmarkEnd w:id="20"/>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7"/>
            <w:bookmarkEnd w:id="21"/>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9D7D51">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9D7D51">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9D7D5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9D7D51">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38"/>
            <w:bookmarkEnd w:id="22"/>
            <w:r w:rsidRPr="0018430E">
              <w:rPr>
                <w:rFonts w:ascii="Times New Roman" w:eastAsia="Times New Roman" w:hAnsi="Times New Roman" w:cs="Times New Roman"/>
                <w:kern w:val="2"/>
                <w:sz w:val="20"/>
                <w:szCs w:val="20"/>
                <w:lang w:eastAsia="zh-CN"/>
              </w:rPr>
              <w:t xml:space="preserve">&lt;1&gt;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w:t>
            </w:r>
            <w:r w:rsidRPr="0018430E">
              <w:rPr>
                <w:rFonts w:ascii="Times New Roman" w:eastAsia="Times New Roman" w:hAnsi="Times New Roman" w:cs="Times New Roman"/>
                <w:kern w:val="2"/>
                <w:sz w:val="20"/>
                <w:szCs w:val="20"/>
                <w:lang w:eastAsia="zh-CN"/>
              </w:rPr>
              <w:lastRenderedPageBreak/>
              <w:t>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должны присоединяться к системе объектов велотранспортной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3" w:name="__RefHeading___Toc27811_3578142504"/>
      <w:bookmarkEnd w:id="23"/>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r w:rsidR="0044407A">
        <w:rPr>
          <w:rFonts w:ascii="Times New Roman" w:eastAsia="Times New Roman" w:hAnsi="Times New Roman" w:cs="Times New Roman"/>
          <w:b/>
          <w:bCs/>
          <w:kern w:val="2"/>
          <w:sz w:val="20"/>
          <w:szCs w:val="20"/>
          <w:lang w:eastAsia="ru-RU" w:bidi="hi-IN"/>
        </w:rPr>
        <w:t>Большеумысского</w:t>
      </w:r>
      <w:r w:rsidR="00730D9A">
        <w:rPr>
          <w:rFonts w:ascii="Times New Roman" w:eastAsia="Times New Roman" w:hAnsi="Times New Roman" w:cs="Times New Roman"/>
          <w:b/>
          <w:bCs/>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00730D9A">
        <w:rPr>
          <w:rFonts w:ascii="Times New Roman" w:eastAsia="Times New Roman" w:hAnsi="Times New Roman" w:cs="Times New Roman"/>
          <w:b/>
          <w:bCs/>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r w:rsidR="0044407A">
        <w:rPr>
          <w:rFonts w:ascii="Times New Roman" w:eastAsia="Arial" w:hAnsi="Times New Roman" w:cs="Times New Roman"/>
          <w:b/>
          <w:bCs/>
          <w:kern w:val="2"/>
          <w:sz w:val="20"/>
          <w:szCs w:val="20"/>
          <w:lang w:eastAsia="zh-CN" w:bidi="hi-IN"/>
        </w:rPr>
        <w:t>Большеумысского</w:t>
      </w:r>
      <w:r w:rsidR="00730D9A">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00730D9A">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00730D9A">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принят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4"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4"/>
      <w:r w:rsidRPr="00396F43">
        <w:rPr>
          <w:rFonts w:ascii="Times New Roman" w:eastAsia="Arial" w:hAnsi="Times New Roman" w:cs="Times New Roman"/>
          <w:spacing w:val="-8"/>
          <w:kern w:val="2"/>
          <w:sz w:val="20"/>
          <w:szCs w:val="20"/>
          <w:lang w:eastAsia="zh-CN" w:bidi="hi-IN"/>
        </w:rPr>
        <w:t>.</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принят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Pr>
          <w:rFonts w:ascii="Times New Roman" w:eastAsia="Arial" w:hAnsi="Times New Roman" w:cs="Times New Roman"/>
          <w:b/>
          <w:bCs/>
          <w:kern w:val="2"/>
          <w:sz w:val="20"/>
          <w:szCs w:val="20"/>
          <w:lang w:eastAsia="zh-CN" w:bidi="hi-IN"/>
        </w:rPr>
        <w:t>транспорта,</w:t>
      </w:r>
      <w:r w:rsidR="00730D9A">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r w:rsidR="0044407A">
        <w:rPr>
          <w:rFonts w:ascii="Times New Roman" w:eastAsia="Arial" w:hAnsi="Times New Roman" w:cs="Times New Roman"/>
          <w:b/>
          <w:bCs/>
          <w:kern w:val="2"/>
          <w:sz w:val="20"/>
          <w:szCs w:val="20"/>
          <w:lang w:eastAsia="zh-CN" w:bidi="hi-IN"/>
        </w:rPr>
        <w:t>Большеумысского</w:t>
      </w:r>
      <w:r w:rsidR="00730D9A">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00730D9A">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00730D9A">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принят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принят на основе пункта СП 42.13330.2011.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lastRenderedPageBreak/>
        <w:t>- территориальной доступности принят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5"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w:t>
      </w:r>
      <w:bookmarkEnd w:id="25"/>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6"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bookmarkEnd w:id="26"/>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5.3 в части обеспеченности и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2.4.Обоснование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730D9A">
        <w:rPr>
          <w:rFonts w:ascii="Times New Roman" w:eastAsia="Times New Roman" w:hAnsi="Times New Roman" w:cs="Times New Roman"/>
          <w:b/>
          <w:bCs/>
          <w:kern w:val="2"/>
          <w:sz w:val="20"/>
          <w:szCs w:val="20"/>
          <w:lang w:eastAsia="ru-RU" w:bidi="hi-IN"/>
        </w:rPr>
        <w:t xml:space="preserve">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730D9A" w:rsidRPr="00396F43">
        <w:rPr>
          <w:rFonts w:ascii="Times New Roman" w:eastAsia="Arial" w:hAnsi="Times New Roman" w:cs="Times New Roman"/>
          <w:b/>
          <w:bCs/>
          <w:kern w:val="2"/>
          <w:sz w:val="20"/>
          <w:szCs w:val="20"/>
          <w:lang w:eastAsia="zh-CN" w:bidi="hi-IN"/>
        </w:rPr>
        <w:t>содержащихся</w:t>
      </w:r>
      <w:r w:rsidR="00730D9A">
        <w:rPr>
          <w:rFonts w:ascii="Times New Roman" w:eastAsia="Arial" w:hAnsi="Times New Roman" w:cs="Times New Roman"/>
          <w:b/>
          <w:bCs/>
          <w:kern w:val="2"/>
          <w:sz w:val="20"/>
          <w:szCs w:val="20"/>
          <w:lang w:eastAsia="zh-CN" w:bidi="hi-IN"/>
        </w:rPr>
        <w:t xml:space="preserve"> в</w:t>
      </w:r>
      <w:r w:rsidRPr="00396F43">
        <w:rPr>
          <w:rFonts w:ascii="Times New Roman" w:eastAsia="Arial" w:hAnsi="Times New Roman" w:cs="Times New Roman"/>
          <w:b/>
          <w:bCs/>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00730D9A">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принят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принят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00730D9A">
        <w:rPr>
          <w:rFonts w:ascii="Times New Roman" w:eastAsia="Arial" w:hAnsi="Times New Roman" w:cs="Times New Roman"/>
          <w:b/>
          <w:bCs/>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b/>
          <w:bCs/>
          <w:kern w:val="2"/>
          <w:sz w:val="20"/>
          <w:szCs w:val="20"/>
          <w:lang w:eastAsia="zh-CN" w:bidi="hi-IN"/>
        </w:rPr>
        <w:t xml:space="preserve">местныхнормативов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граждан в качестве нуждающихся в жилых помещений в </w:t>
      </w:r>
      <w:r w:rsidR="0044407A">
        <w:rPr>
          <w:rFonts w:ascii="Times New Roman" w:eastAsia="Times New Roman" w:hAnsi="Times New Roman" w:cs="Times New Roman"/>
          <w:sz w:val="20"/>
          <w:szCs w:val="20"/>
          <w:lang w:eastAsia="ru-RU"/>
        </w:rPr>
        <w:t>Большеумысском</w:t>
      </w:r>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договорам социального найма утверждены Решением Комитета местного самоуправления </w:t>
      </w:r>
      <w:r w:rsidR="0044407A">
        <w:rPr>
          <w:rFonts w:ascii="Times New Roman" w:eastAsia="Times New Roman" w:hAnsi="Times New Roman" w:cs="Times New Roman"/>
          <w:sz w:val="20"/>
          <w:szCs w:val="20"/>
          <w:lang w:eastAsia="ru-RU"/>
        </w:rPr>
        <w:t>Большеумысского</w:t>
      </w:r>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bookmarkStart w:id="27" w:name="_GoBack"/>
      <w:r w:rsidR="00365565" w:rsidRPr="00365565">
        <w:rPr>
          <w:rFonts w:ascii="Times New Roman" w:eastAsia="Times New Roman" w:hAnsi="Times New Roman" w:cs="Times New Roman"/>
          <w:sz w:val="20"/>
          <w:szCs w:val="20"/>
          <w:lang w:eastAsia="ru-RU"/>
        </w:rPr>
        <w:t>24.09.2010 №119-47/5</w:t>
      </w:r>
      <w:bookmarkEnd w:id="27"/>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r w:rsidR="0044407A">
        <w:rPr>
          <w:rFonts w:ascii="Times New Roman" w:eastAsia="Times New Roman" w:hAnsi="Times New Roman" w:cs="Times New Roman"/>
          <w:sz w:val="20"/>
          <w:szCs w:val="20"/>
          <w:lang w:eastAsia="ru-RU"/>
        </w:rPr>
        <w:t>Большеумысском</w:t>
      </w:r>
      <w:r w:rsidR="00730D9A">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00730D9A">
        <w:rPr>
          <w:rFonts w:ascii="Times New Roman" w:eastAsia="Arial" w:hAnsi="Times New Roman" w:cs="Times New Roman"/>
          <w:b/>
          <w:bCs/>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b/>
          <w:bCs/>
          <w:kern w:val="2"/>
          <w:sz w:val="20"/>
          <w:szCs w:val="20"/>
          <w:lang w:eastAsia="zh-CN" w:bidi="hi-IN"/>
        </w:rPr>
        <w:t xml:space="preserve">местныхнормативов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 xml:space="preserve">2.7.Обоснование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r w:rsidR="0044407A">
        <w:rPr>
          <w:rFonts w:ascii="Times New Roman" w:eastAsia="Times New Roman" w:hAnsi="Times New Roman" w:cs="Times New Roman"/>
          <w:b/>
          <w:bCs/>
          <w:sz w:val="20"/>
          <w:szCs w:val="20"/>
          <w:lang w:eastAsia="ru-RU"/>
        </w:rPr>
        <w:t>Большеумысского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730D9A">
        <w:rPr>
          <w:rFonts w:ascii="Times New Roman" w:eastAsia="Times New Roman" w:hAnsi="Times New Roman" w:cs="Times New Roman"/>
          <w:b/>
          <w:bCs/>
          <w:kern w:val="2"/>
          <w:sz w:val="20"/>
          <w:szCs w:val="20"/>
          <w:lang w:eastAsia="ru-RU" w:bidi="hi-IN"/>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44407A">
        <w:rPr>
          <w:rFonts w:ascii="Times New Roman" w:eastAsia="Times New Roman" w:hAnsi="Times New Roman" w:cs="Times New Roman"/>
          <w:b/>
          <w:bCs/>
          <w:sz w:val="20"/>
          <w:szCs w:val="20"/>
          <w:lang w:eastAsia="ru-RU"/>
        </w:rPr>
        <w:t>Большеумысского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00730D9A">
        <w:rPr>
          <w:rFonts w:ascii="Times New Roman" w:eastAsia="Times New Roman" w:hAnsi="Times New Roman" w:cs="Times New Roman"/>
          <w:b/>
          <w:bCs/>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b/>
          <w:bCs/>
          <w:sz w:val="20"/>
          <w:szCs w:val="20"/>
          <w:lang w:eastAsia="ru-RU"/>
        </w:rPr>
        <w:t>местныхнормативов градостроительного проектирования</w:t>
      </w:r>
      <w:r w:rsidR="00730D9A">
        <w:rPr>
          <w:rFonts w:ascii="Times New Roman" w:eastAsia="Times New Roman" w:hAnsi="Times New Roman" w:cs="Times New Roman"/>
          <w:b/>
          <w:bCs/>
          <w:sz w:val="20"/>
          <w:szCs w:val="20"/>
          <w:lang w:eastAsia="ru-RU"/>
        </w:rPr>
        <w:t xml:space="preserve"> </w:t>
      </w:r>
      <w:r w:rsidR="0044407A">
        <w:rPr>
          <w:rFonts w:ascii="Times New Roman" w:eastAsia="Times New Roman" w:hAnsi="Times New Roman" w:cs="Times New Roman"/>
          <w:b/>
          <w:bCs/>
          <w:sz w:val="20"/>
          <w:szCs w:val="20"/>
          <w:lang w:eastAsia="ru-RU"/>
        </w:rPr>
        <w:t>Большеумысского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Минрегиона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уровне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 xml:space="preserve">2.8.Обоснование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00730D9A">
        <w:rPr>
          <w:rFonts w:ascii="Times New Roman" w:eastAsia="Times New Roman" w:hAnsi="Times New Roman" w:cs="Times New Roman"/>
          <w:b/>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r w:rsidR="0044407A">
        <w:rPr>
          <w:rFonts w:ascii="Times New Roman" w:eastAsia="Times New Roman" w:hAnsi="Times New Roman" w:cs="Times New Roman"/>
          <w:b/>
          <w:bCs/>
          <w:sz w:val="20"/>
          <w:szCs w:val="20"/>
          <w:lang w:eastAsia="ru-RU"/>
        </w:rPr>
        <w:t>Большеумысского</w:t>
      </w:r>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44407A">
        <w:rPr>
          <w:rFonts w:ascii="Times New Roman" w:eastAsia="Times New Roman" w:hAnsi="Times New Roman" w:cs="Times New Roman"/>
          <w:b/>
          <w:bCs/>
          <w:sz w:val="20"/>
          <w:szCs w:val="20"/>
          <w:lang w:eastAsia="ru-RU"/>
        </w:rPr>
        <w:t>Большеумысского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00730D9A">
        <w:rPr>
          <w:rFonts w:ascii="Times New Roman" w:eastAsia="Times New Roman" w:hAnsi="Times New Roman" w:cs="Times New Roman"/>
          <w:b/>
          <w:bCs/>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b/>
          <w:bCs/>
          <w:sz w:val="20"/>
          <w:szCs w:val="20"/>
          <w:lang w:eastAsia="ru-RU"/>
        </w:rPr>
        <w:t xml:space="preserve">местныхнормативов градостроительного проектирования </w:t>
      </w:r>
      <w:r w:rsidR="0044407A">
        <w:rPr>
          <w:rFonts w:ascii="Times New Roman" w:eastAsia="Times New Roman" w:hAnsi="Times New Roman" w:cs="Times New Roman"/>
          <w:b/>
          <w:bCs/>
          <w:sz w:val="20"/>
          <w:szCs w:val="20"/>
          <w:lang w:eastAsia="ru-RU"/>
        </w:rPr>
        <w:t>Большеумысского</w:t>
      </w:r>
      <w:r w:rsidRPr="00396F43">
        <w:rPr>
          <w:rFonts w:ascii="Times New Roman" w:eastAsia="Times New Roman" w:hAnsi="Times New Roman" w:cs="Times New Roman"/>
          <w:b/>
          <w:bCs/>
          <w:sz w:val="20"/>
          <w:szCs w:val="20"/>
          <w:lang w:eastAsia="ru-RU"/>
        </w:rPr>
        <w:t xml:space="preserve"> сельсовета</w:t>
      </w:r>
      <w:r w:rsidR="00730D9A">
        <w:rPr>
          <w:rFonts w:ascii="Times New Roman" w:eastAsia="Times New Roman" w:hAnsi="Times New Roman" w:cs="Times New Roman"/>
          <w:b/>
          <w:bCs/>
          <w:sz w:val="20"/>
          <w:szCs w:val="20"/>
          <w:lang w:eastAsia="ru-RU"/>
        </w:rPr>
        <w:t xml:space="preserve">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w:t>
      </w:r>
      <w:r w:rsidRPr="00396F43">
        <w:rPr>
          <w:rFonts w:ascii="Times New Roman" w:eastAsia="Arial" w:hAnsi="Times New Roman" w:cs="Times New Roman"/>
          <w:b/>
          <w:bCs/>
          <w:kern w:val="2"/>
          <w:sz w:val="20"/>
          <w:szCs w:val="20"/>
          <w:lang w:eastAsia="zh-CN" w:bidi="hi-IN"/>
        </w:rPr>
        <w:lastRenderedPageBreak/>
        <w:t xml:space="preserve">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00730D9A">
        <w:rPr>
          <w:rFonts w:ascii="Times New Roman" w:eastAsia="Arial" w:hAnsi="Times New Roman" w:cs="Times New Roman"/>
          <w:b/>
          <w:bCs/>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b/>
          <w:bCs/>
          <w:kern w:val="2"/>
          <w:sz w:val="20"/>
          <w:szCs w:val="20"/>
          <w:lang w:eastAsia="zh-CN" w:bidi="hi-IN"/>
        </w:rPr>
        <w:t xml:space="preserve">местныхнормативов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00730D9A">
        <w:rPr>
          <w:rFonts w:ascii="Times New Roman" w:eastAsia="Times New Roman" w:hAnsi="Times New Roman" w:cs="Times New Roman"/>
          <w:sz w:val="20"/>
          <w:szCs w:val="20"/>
          <w:lang w:eastAsia="ru-RU"/>
        </w:rPr>
        <w:t xml:space="preserve"> </w:t>
      </w:r>
      <w:r w:rsidR="0044407A">
        <w:rPr>
          <w:rFonts w:ascii="Times New Roman" w:eastAsia="Times New Roman" w:hAnsi="Times New Roman" w:cs="Times New Roman"/>
          <w:sz w:val="20"/>
          <w:szCs w:val="20"/>
          <w:lang w:eastAsia="ru-RU"/>
        </w:rPr>
        <w:t>Большеумысский</w:t>
      </w:r>
      <w:r w:rsidR="00730D9A">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принят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принят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принят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принят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lastRenderedPageBreak/>
        <w:t xml:space="preserve">                - обеспеченности принят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Российской 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принят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711/пр</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территориальной доступности принят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в части обеспеченности и территориальной доступности принят на основе</w:t>
      </w:r>
      <w:bookmarkEnd w:id="32"/>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730D9A">
        <w:rPr>
          <w:rFonts w:ascii="Times New Roman" w:eastAsia="Arial" w:hAnsi="Times New Roman" w:cs="Times New Roman"/>
          <w:b/>
          <w:bCs/>
          <w:kern w:val="2"/>
          <w:sz w:val="20"/>
          <w:szCs w:val="20"/>
          <w:lang w:eastAsia="zh-CN" w:bidi="hi-IN"/>
        </w:rPr>
        <w:t xml:space="preserve"> района Пензенской области, </w:t>
      </w:r>
      <w:r w:rsidRPr="00396F43">
        <w:rPr>
          <w:rFonts w:ascii="Times New Roman" w:eastAsia="Arial" w:hAnsi="Times New Roman" w:cs="Times New Roman"/>
          <w:b/>
          <w:bCs/>
          <w:kern w:val="2"/>
          <w:sz w:val="20"/>
          <w:szCs w:val="20"/>
          <w:lang w:eastAsia="zh-CN" w:bidi="hi-IN"/>
        </w:rPr>
        <w:t xml:space="preserve">содержащихся </w:t>
      </w:r>
      <w:r w:rsidRPr="00396F43">
        <w:rPr>
          <w:rFonts w:ascii="Times New Roman" w:eastAsia="Arial" w:hAnsi="Times New Roman" w:cs="Times New Roman"/>
          <w:b/>
          <w:bCs/>
          <w:kern w:val="2"/>
          <w:sz w:val="20"/>
          <w:szCs w:val="20"/>
          <w:lang w:eastAsia="zh-CN" w:bidi="hi-IN"/>
        </w:rPr>
        <w:br/>
        <w:t xml:space="preserve">в разделе 1.13 части 1 региональных нормативов градостроительного проектирования </w:t>
      </w:r>
      <w:r w:rsidR="0044407A">
        <w:rPr>
          <w:rFonts w:ascii="Times New Roman" w:eastAsia="Arial" w:hAnsi="Times New Roman" w:cs="Times New Roman"/>
          <w:b/>
          <w:bCs/>
          <w:kern w:val="2"/>
          <w:sz w:val="20"/>
          <w:szCs w:val="20"/>
          <w:lang w:eastAsia="zh-CN" w:bidi="hi-IN"/>
        </w:rPr>
        <w:t>Большеумысского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Актуализированная редакция СНиП 2.07.01-89*", утвержденного Приказом Минрегион</w:t>
      </w:r>
      <w:r w:rsidR="00C47F66">
        <w:rPr>
          <w:rFonts w:ascii="Times New Roman" w:eastAsia="Times New Roman" w:hAnsi="Times New Roman" w:cs="Times New Roman"/>
          <w:spacing w:val="-8"/>
          <w:kern w:val="2"/>
          <w:sz w:val="20"/>
          <w:szCs w:val="20"/>
          <w:lang w:eastAsia="ru-RU" w:bidi="hi-IN"/>
        </w:rPr>
        <w:t xml:space="preserve">а России от 28.12.2010 №820) (с </w:t>
      </w:r>
      <w:r w:rsidRPr="00396F43">
        <w:rPr>
          <w:rFonts w:ascii="Times New Roman" w:eastAsia="Times New Roman" w:hAnsi="Times New Roman" w:cs="Times New Roman"/>
          <w:spacing w:val="-8"/>
          <w:kern w:val="2"/>
          <w:sz w:val="20"/>
          <w:szCs w:val="20"/>
          <w:lang w:eastAsia="ru-RU" w:bidi="hi-IN"/>
        </w:rPr>
        <w:t>посл</w:t>
      </w:r>
      <w:r w:rsidR="009D7D51">
        <w:rPr>
          <w:rFonts w:ascii="Times New Roman" w:eastAsia="Times New Roman" w:hAnsi="Times New Roman" w:cs="Times New Roman"/>
          <w:spacing w:val="-8"/>
          <w:kern w:val="2"/>
          <w:sz w:val="20"/>
          <w:szCs w:val="20"/>
          <w:lang w:eastAsia="ru-RU" w:bidi="hi-IN"/>
        </w:rPr>
        <w:t xml:space="preserve">едующими изменениями) (далее - </w:t>
      </w:r>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1">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r w:rsidRPr="00396F43">
        <w:rPr>
          <w:rFonts w:ascii="Times New Roman" w:eastAsia="Times New Roman" w:hAnsi="Times New Roman" w:cs="Times New Roman"/>
          <w:spacing w:val="-8"/>
          <w:kern w:val="2"/>
          <w:sz w:val="20"/>
          <w:szCs w:val="20"/>
          <w:lang w:eastAsia="ru-RU" w:bidi="hi-IN"/>
        </w:rPr>
        <w:t>принят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572/пр)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принят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sidR="0044407A">
        <w:rPr>
          <w:rFonts w:ascii="Times New Roman" w:eastAsia="Arial" w:hAnsi="Times New Roman" w:cs="Times New Roman"/>
          <w:kern w:val="2"/>
          <w:sz w:val="20"/>
          <w:szCs w:val="20"/>
          <w:lang w:eastAsia="zh-CN" w:bidi="hi-IN"/>
        </w:rPr>
        <w:t>Большеумысского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730D9A">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r w:rsidR="0044407A">
        <w:rPr>
          <w:rFonts w:ascii="Times New Roman" w:eastAsia="Arial" w:hAnsi="Times New Roman" w:cs="Times New Roman"/>
          <w:kern w:val="2"/>
          <w:sz w:val="20"/>
          <w:szCs w:val="20"/>
          <w:lang w:eastAsia="zh-CN" w:bidi="hi-IN"/>
        </w:rPr>
        <w:t>Большеумысского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r w:rsidR="0044407A">
        <w:rPr>
          <w:rFonts w:ascii="Times New Roman" w:eastAsia="Arial" w:hAnsi="Times New Roman" w:cs="Times New Roman"/>
          <w:kern w:val="2"/>
          <w:sz w:val="20"/>
          <w:szCs w:val="20"/>
          <w:lang w:eastAsia="zh-CN" w:bidi="hi-IN"/>
        </w:rPr>
        <w:t>Большеумысского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r w:rsidR="0044407A">
        <w:rPr>
          <w:rFonts w:ascii="Times New Roman" w:eastAsia="Arial" w:hAnsi="Times New Roman" w:cs="Times New Roman"/>
          <w:kern w:val="2"/>
          <w:sz w:val="20"/>
          <w:szCs w:val="20"/>
          <w:lang w:eastAsia="zh-CN" w:bidi="hi-IN"/>
        </w:rPr>
        <w:t>Большеумысского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w:t>
      </w:r>
      <w:r w:rsidRPr="00396F43">
        <w:rPr>
          <w:rFonts w:ascii="Times New Roman" w:eastAsia="Arial" w:hAnsi="Times New Roman" w:cs="Times New Roman"/>
          <w:kern w:val="2"/>
          <w:sz w:val="20"/>
          <w:szCs w:val="20"/>
          <w:lang w:eastAsia="zh-CN" w:bidi="hi-IN"/>
        </w:rPr>
        <w:lastRenderedPageBreak/>
        <w:t>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r w:rsidR="0044407A">
        <w:rPr>
          <w:rFonts w:ascii="Times New Roman" w:eastAsia="Arial" w:hAnsi="Times New Roman" w:cs="Times New Roman"/>
          <w:kern w:val="2"/>
          <w:sz w:val="20"/>
          <w:szCs w:val="20"/>
          <w:lang w:eastAsia="zh-CN" w:bidi="hi-IN"/>
        </w:rPr>
        <w:t>Большеумысского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44407A">
        <w:rPr>
          <w:rFonts w:ascii="Times New Roman" w:eastAsia="Arial" w:hAnsi="Times New Roman" w:cs="Times New Roman"/>
          <w:kern w:val="2"/>
          <w:sz w:val="20"/>
          <w:szCs w:val="20"/>
          <w:lang w:eastAsia="zh-CN" w:bidi="hi-IN"/>
        </w:rPr>
        <w:t>Большеумысского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44407A">
        <w:rPr>
          <w:rFonts w:ascii="Times New Roman" w:eastAsia="Arial" w:hAnsi="Times New Roman" w:cs="Times New Roman"/>
          <w:kern w:val="2"/>
          <w:sz w:val="20"/>
          <w:szCs w:val="20"/>
          <w:lang w:eastAsia="zh-CN" w:bidi="hi-IN"/>
        </w:rPr>
        <w:t>Большеумысского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sidR="0044407A">
        <w:rPr>
          <w:rFonts w:ascii="Times New Roman" w:eastAsia="Arial" w:hAnsi="Times New Roman" w:cs="Times New Roman"/>
          <w:kern w:val="2"/>
          <w:sz w:val="20"/>
          <w:szCs w:val="20"/>
          <w:lang w:eastAsia="zh-CN" w:bidi="hi-IN"/>
        </w:rPr>
        <w:t>Большеумысского</w:t>
      </w:r>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sidR="0044407A">
        <w:rPr>
          <w:rFonts w:ascii="Times New Roman" w:eastAsia="Times New Roman" w:hAnsi="Times New Roman" w:cs="Times New Roman"/>
          <w:sz w:val="20"/>
          <w:szCs w:val="20"/>
          <w:lang w:eastAsia="ru-RU"/>
        </w:rPr>
        <w:t>Большеумысского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44407A">
        <w:rPr>
          <w:rFonts w:ascii="Times New Roman" w:eastAsia="Times New Roman" w:hAnsi="Times New Roman" w:cs="Times New Roman"/>
          <w:sz w:val="20"/>
          <w:szCs w:val="20"/>
          <w:lang w:eastAsia="ru-RU"/>
        </w:rPr>
        <w:t>Большеумысского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44407A">
        <w:rPr>
          <w:rFonts w:ascii="Times New Roman" w:eastAsia="Times New Roman" w:hAnsi="Times New Roman" w:cs="Times New Roman"/>
          <w:sz w:val="20"/>
          <w:szCs w:val="20"/>
          <w:lang w:eastAsia="ru-RU"/>
        </w:rPr>
        <w:t>Большеумысского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DB8" w:rsidRDefault="00B34DB8">
      <w:pPr>
        <w:spacing w:after="0" w:line="240" w:lineRule="auto"/>
      </w:pPr>
      <w:r>
        <w:separator/>
      </w:r>
    </w:p>
  </w:endnote>
  <w:endnote w:type="continuationSeparator" w:id="1">
    <w:p w:rsidR="00B34DB8" w:rsidRDefault="00B34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DB8" w:rsidRDefault="00B34DB8">
      <w:pPr>
        <w:spacing w:after="0" w:line="240" w:lineRule="auto"/>
      </w:pPr>
      <w:r>
        <w:separator/>
      </w:r>
    </w:p>
  </w:footnote>
  <w:footnote w:type="continuationSeparator" w:id="1">
    <w:p w:rsidR="00B34DB8" w:rsidRDefault="00B34D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C7" w:rsidRDefault="006F00C7">
    <w:pPr>
      <w:pStyle w:val="a3"/>
      <w:jc w:val="center"/>
    </w:pPr>
  </w:p>
  <w:p w:rsidR="006F00C7" w:rsidRDefault="006F00C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numFmt w:val="decimal"/>
    <w:endnote w:id="0"/>
    <w:endnote w:id="1"/>
  </w:endnotePr>
  <w:compat/>
  <w:rsids>
    <w:rsidRoot w:val="00396F43"/>
    <w:rsid w:val="000A0B44"/>
    <w:rsid w:val="000A1F9B"/>
    <w:rsid w:val="0018430E"/>
    <w:rsid w:val="001859FC"/>
    <w:rsid w:val="001D430C"/>
    <w:rsid w:val="002051D9"/>
    <w:rsid w:val="00207DC9"/>
    <w:rsid w:val="00256B77"/>
    <w:rsid w:val="00365565"/>
    <w:rsid w:val="00396F43"/>
    <w:rsid w:val="003F6C4C"/>
    <w:rsid w:val="0044407A"/>
    <w:rsid w:val="00481574"/>
    <w:rsid w:val="005B4CC1"/>
    <w:rsid w:val="006801AC"/>
    <w:rsid w:val="00690649"/>
    <w:rsid w:val="006A6003"/>
    <w:rsid w:val="006F00C7"/>
    <w:rsid w:val="00730D9A"/>
    <w:rsid w:val="00763252"/>
    <w:rsid w:val="0078434F"/>
    <w:rsid w:val="008C5990"/>
    <w:rsid w:val="008D1F64"/>
    <w:rsid w:val="008E7F6B"/>
    <w:rsid w:val="00956836"/>
    <w:rsid w:val="00993C2F"/>
    <w:rsid w:val="009C5497"/>
    <w:rsid w:val="009D7D51"/>
    <w:rsid w:val="009E57D1"/>
    <w:rsid w:val="00A11CCD"/>
    <w:rsid w:val="00A3413C"/>
    <w:rsid w:val="00A35605"/>
    <w:rsid w:val="00B04B85"/>
    <w:rsid w:val="00B34DB8"/>
    <w:rsid w:val="00B531DE"/>
    <w:rsid w:val="00BA57D9"/>
    <w:rsid w:val="00BD6CBE"/>
    <w:rsid w:val="00C47F66"/>
    <w:rsid w:val="00C51BFD"/>
    <w:rsid w:val="00C6210E"/>
    <w:rsid w:val="00D11673"/>
    <w:rsid w:val="00D65421"/>
    <w:rsid w:val="00DB628B"/>
    <w:rsid w:val="00DE2656"/>
    <w:rsid w:val="00E558EA"/>
    <w:rsid w:val="00F15C30"/>
    <w:rsid w:val="00F36E39"/>
    <w:rsid w:val="00FB55DE"/>
    <w:rsid w:val="00FE1BFA"/>
    <w:rsid w:val="00FE2699"/>
    <w:rsid w:val="00FE6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F1A"/>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B75C11509224F0D55E7975D3E198B41122CD5E21E31D41BAACD0DA2478ADA782E8BBC5A49CCDE15FAD4A8C1Y0oAK" TargetMode="External"/><Relationship Id="rId5" Type="http://schemas.openxmlformats.org/officeDocument/2006/relationships/footnotes" Target="footnotes.xml"/><Relationship Id="rId10" Type="http://schemas.openxmlformats.org/officeDocument/2006/relationships/hyperlink" Target="http://dokipedia.ru/document/5336586?pid=89" TargetMode="External"/><Relationship Id="rId4" Type="http://schemas.openxmlformats.org/officeDocument/2006/relationships/webSettings" Target="webSettings.xml"/><Relationship Id="rId9"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9363</Words>
  <Characters>53373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User</cp:lastModifiedBy>
  <cp:revision>17</cp:revision>
  <dcterms:created xsi:type="dcterms:W3CDTF">2020-09-10T06:25:00Z</dcterms:created>
  <dcterms:modified xsi:type="dcterms:W3CDTF">2020-09-13T14:59:00Z</dcterms:modified>
</cp:coreProperties>
</file>