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DD" w:rsidRDefault="00A810DD" w:rsidP="00A810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0DD" w:rsidRDefault="00A810DD" w:rsidP="00A810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Комитет местного самоуправления </w:t>
      </w:r>
    </w:p>
    <w:p w:rsidR="00A810DD" w:rsidRDefault="00A810DD" w:rsidP="00A810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сельсовета</w:t>
      </w:r>
    </w:p>
    <w:p w:rsidR="00CF6467" w:rsidRDefault="00A810DD" w:rsidP="00A810DD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</w:t>
      </w:r>
    </w:p>
    <w:p w:rsidR="00A810DD" w:rsidRDefault="00A810DD" w:rsidP="00A810DD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Пензенской области</w:t>
      </w:r>
    </w:p>
    <w:p w:rsidR="00A810DD" w:rsidRDefault="00A810DD" w:rsidP="00A810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810DD" w:rsidRDefault="00A810DD" w:rsidP="00A810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A810DD" w:rsidRDefault="00A810DD" w:rsidP="00A810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4"/>
        <w:gridCol w:w="2835"/>
        <w:gridCol w:w="397"/>
        <w:gridCol w:w="1134"/>
      </w:tblGrid>
      <w:tr w:rsidR="00A810DD" w:rsidTr="00A810DD">
        <w:tc>
          <w:tcPr>
            <w:tcW w:w="404" w:type="dxa"/>
            <w:vAlign w:val="bottom"/>
            <w:hideMark/>
          </w:tcPr>
          <w:p w:rsidR="00A810DD" w:rsidRDefault="00A810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10DD" w:rsidRDefault="00CF6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29.03.2021 года</w:t>
            </w:r>
          </w:p>
        </w:tc>
        <w:tc>
          <w:tcPr>
            <w:tcW w:w="397" w:type="dxa"/>
            <w:vAlign w:val="bottom"/>
            <w:hideMark/>
          </w:tcPr>
          <w:p w:rsidR="00A810DD" w:rsidRDefault="00A810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810DD" w:rsidRDefault="00CF6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123-36/7</w:t>
            </w:r>
          </w:p>
        </w:tc>
      </w:tr>
      <w:tr w:rsidR="00A810DD" w:rsidTr="00A810DD">
        <w:tc>
          <w:tcPr>
            <w:tcW w:w="4770" w:type="dxa"/>
            <w:gridSpan w:val="4"/>
          </w:tcPr>
          <w:p w:rsidR="00A810DD" w:rsidRDefault="00A8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ольшойУмыс</w:t>
            </w:r>
            <w:proofErr w:type="spellEnd"/>
          </w:p>
          <w:p w:rsidR="00A810DD" w:rsidRDefault="00A8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10DD" w:rsidRDefault="00A810DD" w:rsidP="00A810DD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0DD" w:rsidRDefault="00A810DD" w:rsidP="00A810DD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0DD" w:rsidRDefault="00A810DD" w:rsidP="00A810DD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398D" w:rsidRDefault="0024398D" w:rsidP="00A810DD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0DD" w:rsidRDefault="00A810DD" w:rsidP="00A810DD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местных нормативов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</w:t>
      </w:r>
    </w:p>
    <w:p w:rsidR="00A810DD" w:rsidRDefault="00A810DD" w:rsidP="00A810DD">
      <w:pPr>
        <w:widowControl w:val="0"/>
        <w:spacing w:after="0" w:line="209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10DD" w:rsidRDefault="00A810DD" w:rsidP="00A810DD">
      <w:pPr>
        <w:widowControl w:val="0"/>
        <w:spacing w:after="0" w:line="209" w:lineRule="atLeast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главой 3.1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Пензенской области от 12.12.2019 № 793-пП «О внесении изменений в Региональные нормативы градостроительного проектирования Пензенской области, утвержденные постановлением Правительства Пензенской области от 13.04.2015 № 189-пП                                 (с последующими изменениями)»,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  <w:proofErr w:type="gramEnd"/>
    </w:p>
    <w:p w:rsidR="00A810DD" w:rsidRDefault="00A810DD" w:rsidP="00A810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 местного самоуправления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A810DD" w:rsidRDefault="00A810DD" w:rsidP="00A810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Пензенской области решил:</w:t>
      </w:r>
    </w:p>
    <w:p w:rsidR="00A810DD" w:rsidRDefault="00A810DD" w:rsidP="00A810DD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:rsidR="00A810DD" w:rsidRDefault="00A810DD" w:rsidP="00A810DD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A810DD" w:rsidRDefault="00A810DD" w:rsidP="00A810DD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Решение Комитета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25.01.2019 № 406-114/6 «Об утверждении местных нормативов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</w:t>
      </w:r>
    </w:p>
    <w:p w:rsidR="00A810DD" w:rsidRDefault="00A810DD" w:rsidP="00A810DD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Решение Комитета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14.09.2020 № 80-23/7 «О внесении изменений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области».</w:t>
      </w:r>
    </w:p>
    <w:p w:rsidR="00A810DD" w:rsidRDefault="00A810DD" w:rsidP="00A810DD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информационном бюллетене «Сельские ведомости»</w:t>
      </w:r>
    </w:p>
    <w:p w:rsidR="00A810DD" w:rsidRDefault="00A810DD" w:rsidP="00A810DD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:rsidR="00A810DD" w:rsidRDefault="00A810DD" w:rsidP="00A810DD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:rsidR="00A810DD" w:rsidRDefault="00A810DD" w:rsidP="00A810DD">
      <w:pPr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0DD" w:rsidRPr="00CF6467" w:rsidRDefault="00A810DD" w:rsidP="00A810D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CF64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Большеумысского</w:t>
      </w:r>
      <w:proofErr w:type="spellEnd"/>
      <w:r w:rsidRPr="00CF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A810DD" w:rsidRPr="00CF6467" w:rsidRDefault="00A810DD" w:rsidP="00A810D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</w:t>
      </w:r>
      <w:proofErr w:type="spellEnd"/>
      <w:r w:rsidRPr="00CF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A810DD" w:rsidRPr="00CF6467" w:rsidRDefault="00A810DD" w:rsidP="00A810D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  <w:r w:rsidRPr="00CF64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4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4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F6467" w:rsidRPr="00CF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CF6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Воробьев</w:t>
      </w:r>
      <w:r w:rsidR="00CF6467" w:rsidRPr="00CF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Ф.В.</w:t>
      </w:r>
    </w:p>
    <w:p w:rsidR="00A810DD" w:rsidRDefault="00A810DD" w:rsidP="00A810DD">
      <w:pPr>
        <w:spacing w:after="0" w:line="230" w:lineRule="auto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:rsidR="00A810DD" w:rsidRDefault="00A810DD" w:rsidP="00A810DD">
      <w:pPr>
        <w:spacing w:after="0" w:line="230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:rsidR="00A810DD" w:rsidRDefault="00A810DD" w:rsidP="00A810DD">
      <w:pPr>
        <w:spacing w:after="0" w:line="230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Приложение </w:t>
      </w:r>
    </w:p>
    <w:p w:rsidR="00A810DD" w:rsidRDefault="00A810DD" w:rsidP="00A810DD">
      <w:pPr>
        <w:spacing w:after="0" w:line="230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к решению Комитета местного самоуправления </w:t>
      </w:r>
      <w:proofErr w:type="spellStart"/>
      <w:r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сельсовета</w:t>
      </w:r>
    </w:p>
    <w:p w:rsidR="00A810DD" w:rsidRDefault="00A810DD" w:rsidP="00A810DD">
      <w:pPr>
        <w:spacing w:after="0" w:line="230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proofErr w:type="spellStart"/>
      <w:r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proofErr w:type="spellEnd"/>
      <w:r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района</w:t>
      </w:r>
    </w:p>
    <w:p w:rsidR="00A810DD" w:rsidRDefault="00A810DD" w:rsidP="00A810DD">
      <w:pPr>
        <w:spacing w:after="0" w:line="230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Пензенской области</w:t>
      </w:r>
    </w:p>
    <w:p w:rsidR="00A810DD" w:rsidRDefault="00CF6467" w:rsidP="00A810D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29.03.2021года   №  123-36/7</w:t>
      </w:r>
    </w:p>
    <w:p w:rsidR="00A810DD" w:rsidRDefault="00A810DD" w:rsidP="00A810D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_RefHeading___Toc27735_3578142504"/>
      <w:bookmarkEnd w:id="1"/>
    </w:p>
    <w:p w:rsidR="00A810DD" w:rsidRDefault="00A810DD" w:rsidP="00A810DD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МЕСТНЫЕ НОРМАТИВЫ</w:t>
      </w:r>
    </w:p>
    <w:p w:rsidR="00A810DD" w:rsidRDefault="00A810DD" w:rsidP="00A810DD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ГРАДОСТРОИТЕЛЬНОГО ПРОЕКТИРОВАНИЯ</w:t>
      </w:r>
    </w:p>
    <w:p w:rsidR="00A810DD" w:rsidRDefault="00A810DD" w:rsidP="00A810DD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БОЛЬШЕУМЫССКОГО СЕЛЬСОВЕТА КАМЕШКИРСКОГО РАЙОНА ПЕНЗЕНСКОЙ ОБЛАСТИ</w:t>
      </w:r>
    </w:p>
    <w:p w:rsidR="00A810DD" w:rsidRDefault="00A810DD" w:rsidP="00A810DD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</w:p>
    <w:p w:rsidR="00A810DD" w:rsidRDefault="00A810DD" w:rsidP="00A810DD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Основная часть</w:t>
      </w:r>
    </w:p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</w:p>
    <w:p w:rsidR="00A810DD" w:rsidRDefault="00A810DD" w:rsidP="00A810DD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Расчетные показатели минимально допустимого уровня обеспеченности объектами местными значениями сельского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 и расчетные показатели максимально допустимого уровня территориальной доступности таких объектов для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Предельные значения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 и предельные значения</w:t>
      </w:r>
      <w:proofErr w:type="gramEnd"/>
      <w:r>
        <w:rPr>
          <w:rFonts w:ascii="Times New Roman" w:hAnsi="Times New Roman" w:cs="Times New Roman"/>
        </w:rPr>
        <w:t xml:space="preserve">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области.</w:t>
      </w:r>
    </w:p>
    <w:p w:rsidR="00A810DD" w:rsidRDefault="00A810DD" w:rsidP="00A810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10DD" w:rsidRDefault="00A810DD" w:rsidP="00A810DD">
      <w:pPr>
        <w:pStyle w:val="ConsPlusTitle"/>
        <w:outlineLvl w:val="2"/>
        <w:rPr>
          <w:rFonts w:ascii="Times New Roman" w:hAnsi="Times New Roman" w:cs="Times New Roman"/>
        </w:rPr>
      </w:pPr>
      <w:bookmarkStart w:id="2" w:name="P44"/>
      <w:bookmarkEnd w:id="2"/>
    </w:p>
    <w:p w:rsidR="00A810DD" w:rsidRDefault="00A810DD" w:rsidP="00A810D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Объекты в области транспорта, автомобильные дороги местного значения</w:t>
      </w:r>
    </w:p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"/>
        <w:gridCol w:w="1929"/>
        <w:gridCol w:w="1933"/>
        <w:gridCol w:w="1448"/>
        <w:gridCol w:w="1844"/>
        <w:gridCol w:w="1843"/>
      </w:tblGrid>
      <w:tr w:rsidR="00A810DD" w:rsidTr="00A810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объекта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Расчетные и предельные показатели минимально допустимого уровня обеспеченности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Расчетные и предельные показатели максимально допустимого уровня территориальной доступности</w:t>
            </w: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3" w:name="P183"/>
            <w:bookmarkEnd w:id="3"/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Автомобильные дороги</w:t>
            </w:r>
          </w:p>
        </w:tc>
      </w:tr>
      <w:tr w:rsidR="00A810DD" w:rsidTr="00A810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4" w:name="P199"/>
            <w:bookmarkEnd w:id="4"/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Улично-дорожная сеть </w:t>
            </w:r>
            <w:hyperlink r:id="rId6" w:anchor="P284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плотность сети,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/кв. км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5" w:name="P284"/>
            <w:bookmarkEnd w:id="5"/>
            <w:r>
              <w:rPr>
                <w:rFonts w:ascii="Times New Roman" w:hAnsi="Times New Roman" w:cs="Times New Roman"/>
                <w:lang w:eastAsia="en-US"/>
              </w:rPr>
              <w:t xml:space="preserve">&lt;*&gt; В соответствии с </w:t>
            </w:r>
            <w:hyperlink r:id="rId7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СП 42.13330.2016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(с последующими изменениями) поперечный профиль улиц и дорог населенных пунктов может включать в себя проезжую часть (в том числе переходно-скоростные полосы, накопительные полосы, полосы для остановки, стоянки и парковки транспортных средств), тротуары, велосипедные дорожки, центральные и боковые разделительные полосы, бульвары.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Парковки для транспортных средств на улично-дорожной сети допускается предусматривать при соблюдении общих требований и условий допустимости использования городских улиц и дорог для размещения парковок, установленных </w:t>
            </w:r>
            <w:hyperlink r:id="rId8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СП 396.1325800.2018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(с последующими изменениями).</w:t>
            </w:r>
          </w:p>
        </w:tc>
      </w:tr>
      <w:tr w:rsidR="00A810DD" w:rsidTr="00A810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Остановки общественного поселкового транспорта </w:t>
            </w:r>
            <w:hyperlink r:id="rId9" w:anchor="P292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остановочный пункт (количество)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на отрезок улицы протяженностью 600 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bookmarkStart w:id="6" w:name="P292"/>
            <w:bookmarkEnd w:id="6"/>
            <w:r>
              <w:rPr>
                <w:rFonts w:ascii="Times New Roman" w:hAnsi="Times New Roman" w:cs="Times New Roman"/>
                <w:lang w:eastAsia="en-US"/>
              </w:rPr>
              <w:t>&lt;*&gt; при наличии маршрутной сети общественного поселкового транспорта</w:t>
            </w:r>
          </w:p>
        </w:tc>
      </w:tr>
    </w:tbl>
    <w:p w:rsidR="00A810DD" w:rsidRDefault="00A810DD" w:rsidP="00A810DD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7" w:name="P295"/>
      <w:bookmarkEnd w:id="7"/>
    </w:p>
    <w:p w:rsidR="00A810DD" w:rsidRDefault="00A810DD" w:rsidP="00A810D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Объекты, обеспечивающие осуществление деятельности</w:t>
      </w:r>
    </w:p>
    <w:p w:rsidR="00A810DD" w:rsidRDefault="00A810DD" w:rsidP="00A810D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органов власти</w:t>
      </w:r>
    </w:p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2"/>
        <w:gridCol w:w="1929"/>
        <w:gridCol w:w="1929"/>
        <w:gridCol w:w="1305"/>
        <w:gridCol w:w="1702"/>
        <w:gridCol w:w="2118"/>
      </w:tblGrid>
      <w:tr w:rsidR="00A810DD" w:rsidTr="00A810DD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объекта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A810DD" w:rsidTr="00A810DD"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</w:tr>
      <w:tr w:rsidR="00A810DD" w:rsidTr="00A810D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A810DD" w:rsidTr="00A810DD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 для размещения органов местного самоуправления муниципального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пола на 1 сотрудника, кв.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6 </w:t>
            </w:r>
            <w:hyperlink r:id="rId10" w:anchor="P371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 и определяется заданием на проектирование</w:t>
            </w:r>
          </w:p>
        </w:tc>
      </w:tr>
      <w:tr w:rsidR="00A810DD" w:rsidTr="00A810DD"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8" w:name="P371"/>
            <w:bookmarkEnd w:id="8"/>
            <w:r>
              <w:rPr>
                <w:rFonts w:ascii="Times New Roman" w:hAnsi="Times New Roman" w:cs="Times New Roman"/>
                <w:lang w:eastAsia="en-US"/>
              </w:rPr>
              <w:t xml:space="preserve">&lt;*&gt; Без учета площади, предназначенной для размещения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оргтехоснастки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A810DD" w:rsidRDefault="00A810DD" w:rsidP="00A810DD">
      <w:pPr>
        <w:pStyle w:val="ConsPlusTitle"/>
        <w:tabs>
          <w:tab w:val="left" w:pos="1500"/>
          <w:tab w:val="center" w:pos="4677"/>
        </w:tabs>
        <w:outlineLvl w:val="2"/>
        <w:rPr>
          <w:rFonts w:ascii="Times New Roman" w:hAnsi="Times New Roman" w:cs="Times New Roman"/>
        </w:rPr>
      </w:pPr>
      <w:bookmarkStart w:id="9" w:name="P479"/>
      <w:bookmarkEnd w:id="9"/>
    </w:p>
    <w:p w:rsidR="00A810DD" w:rsidRDefault="00A810DD" w:rsidP="00A810DD">
      <w:pPr>
        <w:pStyle w:val="ConsPlusTitle"/>
        <w:tabs>
          <w:tab w:val="left" w:pos="1500"/>
          <w:tab w:val="center" w:pos="4677"/>
        </w:tabs>
        <w:jc w:val="center"/>
        <w:outlineLvl w:val="2"/>
        <w:rPr>
          <w:rFonts w:ascii="Times New Roman" w:hAnsi="Times New Roman" w:cs="Times New Roman"/>
        </w:rPr>
      </w:pPr>
    </w:p>
    <w:p w:rsidR="00A810DD" w:rsidRDefault="00A810DD" w:rsidP="00A810DD">
      <w:pPr>
        <w:pStyle w:val="ConsPlusTitle"/>
        <w:tabs>
          <w:tab w:val="left" w:pos="1500"/>
          <w:tab w:val="center" w:pos="4677"/>
        </w:tabs>
        <w:jc w:val="center"/>
        <w:outlineLvl w:val="2"/>
        <w:rPr>
          <w:rFonts w:ascii="Times New Roman" w:hAnsi="Times New Roman" w:cs="Times New Roman"/>
          <w:strike/>
          <w:highlight w:val="red"/>
        </w:rPr>
      </w:pPr>
      <w:r>
        <w:rPr>
          <w:rFonts w:ascii="Times New Roman" w:hAnsi="Times New Roman" w:cs="Times New Roman"/>
        </w:rPr>
        <w:t xml:space="preserve">1.3. Объекты инженерной инфраструктуры </w:t>
      </w:r>
    </w:p>
    <w:p w:rsidR="00A810DD" w:rsidRDefault="00A810DD" w:rsidP="00A810D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местного значения, в том числе линейные и объекты энергетики</w:t>
      </w:r>
    </w:p>
    <w:p w:rsidR="00A810DD" w:rsidRDefault="00A810DD" w:rsidP="00A810DD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2129"/>
        <w:gridCol w:w="1905"/>
        <w:gridCol w:w="851"/>
        <w:gridCol w:w="283"/>
        <w:gridCol w:w="567"/>
        <w:gridCol w:w="1134"/>
        <w:gridCol w:w="1157"/>
        <w:gridCol w:w="969"/>
      </w:tblGrid>
      <w:tr w:rsidR="00A810DD" w:rsidTr="00A810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объекта</w:t>
            </w:r>
          </w:p>
        </w:tc>
        <w:tc>
          <w:tcPr>
            <w:tcW w:w="4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в области электроснабжения</w:t>
            </w:r>
          </w:p>
        </w:tc>
      </w:tr>
      <w:tr w:rsidR="00A810DD" w:rsidTr="00A810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Линии электропередачи, трансформаторные и иные подстанции, распределительные пункты и иное предназначенное для обеспечения электрических связей и осуществления передачи электрической энергии оборудование, проектный номинальный класс напряжения до 35 киловольт </w:t>
            </w:r>
            <w:hyperlink r:id="rId11" w:anchor="P617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&lt;1&gt;</w:t>
              </w:r>
            </w:hyperlink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кВт*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заданию на проектирование для населенных пунктов по укрупненным показателям электропотребления на 1 человека в зависимости от степени благоустройства и количества населения </w:t>
            </w:r>
            <w:hyperlink r:id="rId12" w:anchor="P618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 стационарными электроплитами, без кондиционеров: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highlight w:val="red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1350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0DD" w:rsidRDefault="00A810DD">
            <w:pPr>
              <w:rPr>
                <w:rFonts w:ascii="Times New Roman" w:hAnsi="Times New Roman" w:cs="Times New Roman"/>
              </w:rPr>
            </w:pPr>
          </w:p>
        </w:tc>
      </w:tr>
      <w:tr w:rsidR="00A810DD" w:rsidTr="00A810D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9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10" w:name="P617"/>
            <w:bookmarkStart w:id="11" w:name="P616"/>
            <w:bookmarkEnd w:id="10"/>
            <w:bookmarkEnd w:id="11"/>
            <w:r>
              <w:rPr>
                <w:rFonts w:ascii="Times New Roman" w:hAnsi="Times New Roman" w:cs="Times New Roman"/>
                <w:lang w:eastAsia="en-US"/>
              </w:rPr>
              <w:t>&lt;1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&gt; 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объектам электроснабжения местного значения городского округа, городского и сельского поселений относятся объекты электроснабжения в границах поселения, городского округа.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12" w:name="P618"/>
            <w:bookmarkEnd w:id="12"/>
            <w:r>
              <w:rPr>
                <w:rFonts w:ascii="Times New Roman" w:hAnsi="Times New Roman" w:cs="Times New Roman"/>
                <w:lang w:eastAsia="en-US"/>
              </w:rPr>
              <w:t>&lt;*&gt; Используется для предварительных расчетов.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в области газоснабжения</w:t>
            </w:r>
          </w:p>
        </w:tc>
      </w:tr>
      <w:tr w:rsidR="00A810DD" w:rsidTr="00A810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</w:t>
            </w:r>
            <w:hyperlink r:id="rId13" w:anchor="P642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&lt;1&gt;</w:t>
              </w:r>
            </w:hyperlink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газораспределительные сети (наружные газопроводы, а также сооружения и технические устройства на них):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газопровод высокого давления 1 категории (природный газ), рабочее давление в газопроводе, МПа: свыше 0,6 до 1,2 включительно;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газопровод высокого давления 1 категории (сжиженный углеводородный газ), рабочее давление в газопроводе, МПа: свыше 0,6 до 1,6 включительно;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газопровод высокого давления 2 категории (природный и сжиженный углеводородный газ), рабочее давление в газопроводе, МПа: свыше 0,3 до 0,6 включительно;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газопровод среднего давления (природный и сжиженный углеводородный газ), рабочее давление в газопроводе, МПа: свыше 0,005 до 0,3 включительно;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газопровод низкого давления (природный и сжиженный углеводородный газ), рабочее давление в газопроводе, до 0,005 МПа включительно.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куб. м/год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заданию на проектирование для населенных пунктов по укрупненным показателям потребления газа на 1 чел. в зависимости от степени благоустройства </w:t>
            </w:r>
            <w:hyperlink r:id="rId14" w:anchor="P644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централизованным горячим водоснабжением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120 </w:t>
            </w:r>
            <w:hyperlink r:id="rId15" w:anchor="P645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горячим водоснабжением от газовых водонагревателей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300 </w:t>
            </w:r>
            <w:hyperlink r:id="rId16" w:anchor="P645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отсутствием всяких видов горячего водоснабжения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для сельских населенных пунктов - 220 </w:t>
            </w:r>
            <w:hyperlink r:id="rId17" w:anchor="P645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13" w:name="P643"/>
            <w:bookmarkStart w:id="14" w:name="P642"/>
            <w:bookmarkEnd w:id="13"/>
            <w:bookmarkEnd w:id="14"/>
            <w:r>
              <w:rPr>
                <w:rFonts w:ascii="Times New Roman" w:hAnsi="Times New Roman" w:cs="Times New Roman"/>
                <w:lang w:eastAsia="en-US"/>
              </w:rPr>
              <w:t>&lt;1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&gt; 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объектам газоснабжения местного значения городского округа, городского и сельского поселений относятся объекты газоснабжения в границах поселения, городского округа.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15" w:name="P644"/>
            <w:bookmarkEnd w:id="15"/>
            <w:r>
              <w:rPr>
                <w:rFonts w:ascii="Times New Roman" w:hAnsi="Times New Roman" w:cs="Times New Roman"/>
                <w:lang w:eastAsia="en-US"/>
              </w:rPr>
              <w:t>&lt;*&gt; Используется для предварительных расчетов количества и мощности отдельных объектов системы газоснабжения.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16" w:name="P645"/>
            <w:bookmarkEnd w:id="16"/>
            <w:r>
              <w:rPr>
                <w:rFonts w:ascii="Times New Roman" w:hAnsi="Times New Roman" w:cs="Times New Roman"/>
                <w:lang w:eastAsia="en-US"/>
              </w:rPr>
              <w:t xml:space="preserve">&lt;**&gt; Укрупненные показатели потребления газа (при теплоте сгорания газа 34 МДж/куб.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(8000 ккал/м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>)).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в области теплоснабжения </w:t>
            </w:r>
          </w:p>
        </w:tc>
      </w:tr>
      <w:tr w:rsidR="00A810DD" w:rsidTr="00A810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теплоснабжения: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источники тепловой энергии;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тепловые сети, здания и сооружения тепловых сетей (в том числе насосные, центральные тепловые пункты, павильоны, камеры, дренажные устройства).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Гкал/год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заданию на проектирование для населенных пунктов по укрупненным показателям объемов теплопотребления на 1 чел., в зависимости от степени благоустройства </w:t>
            </w:r>
            <w:hyperlink r:id="rId18" w:anchor="P665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 наличии в квартире газовой плиты и централизованного горячего водоснабжения при газоснабжении природным газом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 наличии в квартире газовой плиты и газового водонагревателя (при отсутствии централизованного горячего водоснабжения) при газоснабжении природным газом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0,97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1,43</w:t>
            </w:r>
          </w:p>
        </w:tc>
        <w:tc>
          <w:tcPr>
            <w:tcW w:w="30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17" w:name="P665"/>
            <w:bookmarkEnd w:id="17"/>
            <w:r>
              <w:rPr>
                <w:rFonts w:ascii="Times New Roman" w:hAnsi="Times New Roman" w:cs="Times New Roman"/>
                <w:lang w:eastAsia="en-US"/>
              </w:rPr>
              <w:t>&lt;*&gt; Используется для предварительных расчетов количества и мощности отдельных объектов системы теплоснабжения. Задачи развития системы теплоснабжения решаются в схемах теплоснабжения,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в области водоснабжения </w:t>
            </w:r>
          </w:p>
        </w:tc>
      </w:tr>
      <w:tr w:rsidR="00A810DD" w:rsidTr="00A810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водоснабжения:</w:t>
            </w:r>
          </w:p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водозабор;</w:t>
            </w:r>
          </w:p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водопроводные очистные сооружения;</w:t>
            </w:r>
          </w:p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насосная станция;</w:t>
            </w:r>
          </w:p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водонапорная башня;</w:t>
            </w:r>
          </w:p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резервуар;</w:t>
            </w:r>
          </w:p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артезианская скважина и иные объекты водоснабжения, обеспечивающие забор, водоподготовку,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подачу питьевой воды абонентам.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lastRenderedPageBreak/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</w:t>
            </w:r>
            <w:hyperlink r:id="rId19" w:anchor="P685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застройка зданиями, оборудованными внутренним водопроводом 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канализацией, с ванными и местными водонагревателями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то же, с централизованным горячим водоснабжением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18" w:name="P685"/>
            <w:bookmarkEnd w:id="18"/>
            <w:r>
              <w:rPr>
                <w:rFonts w:ascii="Times New Roman" w:hAnsi="Times New Roman" w:cs="Times New Roman"/>
                <w:lang w:eastAsia="en-US"/>
              </w:rPr>
              <w:t>&lt;*&gt; Используется для предварительных расчетов количества и мощности отдельных объектов системы водоснабжения. Задачи развития системы водоснабжения решаются в схемах водоснабжения,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в области водоотведения </w:t>
            </w:r>
          </w:p>
        </w:tc>
      </w:tr>
      <w:tr w:rsidR="00A810DD" w:rsidTr="00A810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водоотведения:</w:t>
            </w:r>
          </w:p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очистные сооружения (КОС);</w:t>
            </w:r>
          </w:p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канализационная насосная станция (КНС) и иные объекты водоотведения, обеспечивающие прием, транспортировку и очистку сточных вод.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заданию на проектирование для населенных пунктов по укрупненным показателям объемов водоотведения на 1 человека в зависимости от степени благоустройства </w:t>
            </w:r>
            <w:hyperlink r:id="rId20" w:anchor="P704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застройка зданиями, оборудованными внутренним водопроводом и канализацией, с ванными и местными водонагревателями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 же, с централизованным горячим водоснабжением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19" w:name="P704"/>
            <w:bookmarkEnd w:id="19"/>
            <w:r>
              <w:rPr>
                <w:rFonts w:ascii="Times New Roman" w:hAnsi="Times New Roman" w:cs="Times New Roman"/>
                <w:lang w:eastAsia="en-US"/>
              </w:rPr>
              <w:t>&lt;*&gt; Используется для предварительных расчетов количества и мощности отдельных объектов системы водоотведения. Задачи развития системы водоотведения решаются в схемах водоотведения,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</w:tbl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  <w:bookmarkStart w:id="20" w:name="P879"/>
      <w:bookmarkEnd w:id="20"/>
    </w:p>
    <w:p w:rsidR="00A810DD" w:rsidRDefault="00A810DD" w:rsidP="00A810DD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1" w:name="P1090"/>
      <w:bookmarkEnd w:id="21"/>
      <w:r>
        <w:rPr>
          <w:rFonts w:ascii="Times New Roman" w:hAnsi="Times New Roman" w:cs="Times New Roman"/>
        </w:rPr>
        <w:t>1.4. Объекты в области культуры и досуга</w:t>
      </w:r>
    </w:p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701"/>
        <w:gridCol w:w="1958"/>
        <w:gridCol w:w="964"/>
        <w:gridCol w:w="1637"/>
        <w:gridCol w:w="2041"/>
      </w:tblGrid>
      <w:tr w:rsidR="00A810DD" w:rsidTr="00A810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объекта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A810DD" w:rsidTr="00A810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Библиотеки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Общедоступная библиотека с детским отделением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(объект) на административный центр сельского поселения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транспортная доступность, мин.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Точка доступа к полнотекстовым информационным ресурсам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(объект) на административный центр сельского поселения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Филиал общедоступных библиотек с детским отделением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(объект)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на 1 тыс. чел.</w:t>
            </w:r>
          </w:p>
        </w:tc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Учреждения культуры клубного типа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Дом культуры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(объект) на административный центр сельского поселения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транспортная доступность, мин.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Филиал сельского дома культуры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(объект)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на 1 тыс. чел.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Кинозалы</w:t>
            </w:r>
          </w:p>
        </w:tc>
      </w:tr>
      <w:tr w:rsidR="00A810DD" w:rsidTr="00A81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Кинозал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(объект)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на 3 тыс. чел.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транспортная доступность, мин.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</w:tbl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</w:p>
    <w:p w:rsidR="00A810DD" w:rsidRDefault="00A810DD" w:rsidP="00A810DD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2" w:name="P1391"/>
      <w:bookmarkEnd w:id="22"/>
      <w:r>
        <w:rPr>
          <w:rFonts w:ascii="Times New Roman" w:hAnsi="Times New Roman" w:cs="Times New Roman"/>
        </w:rPr>
        <w:t>1.5. Объекты в области физической культуры и спорта</w:t>
      </w:r>
    </w:p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8"/>
        <w:gridCol w:w="2324"/>
        <w:gridCol w:w="1835"/>
        <w:gridCol w:w="1010"/>
        <w:gridCol w:w="1977"/>
        <w:gridCol w:w="1141"/>
      </w:tblGrid>
      <w:tr w:rsidR="00A810DD" w:rsidTr="00A810DD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объекта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A810DD" w:rsidTr="00A810DD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</w:tr>
      <w:tr w:rsidR="00A810DD" w:rsidTr="00A810DD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A810DD" w:rsidTr="00A810DD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23" w:name="P1441"/>
            <w:bookmarkEnd w:id="23"/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Стадион с трибунами на 1500 мест и более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заданию на проектирование </w:t>
            </w:r>
            <w:hyperlink r:id="rId21" w:anchor="P1591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транспортная доступность, мин.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A810DD" w:rsidTr="00A810DD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24" w:name="P1591"/>
            <w:bookmarkEnd w:id="24"/>
            <w:r>
              <w:rPr>
                <w:rFonts w:ascii="Times New Roman" w:hAnsi="Times New Roman" w:cs="Times New Roman"/>
                <w:lang w:eastAsia="en-US"/>
              </w:rPr>
              <w:t>&lt;*&gt; Состав, параметры объекта определяются в задании на проектирование. Рекомендуется размещать на территории населенного пункта с численностью более 5000 человек.</w:t>
            </w:r>
          </w:p>
        </w:tc>
      </w:tr>
      <w:tr w:rsidR="00A810DD" w:rsidTr="00A810DD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Плоскостное спортивное сооружение (в том числе спортивные (игровые) площадки; спортивные поля, включая футбольные поля)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площадь на 1000 человек, тыс. кв. 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1,95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транспортная доступность, мин.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A810DD" w:rsidTr="00A810DD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территории населенного пункта численностью более 50 человек рекомендуется размещать игровые спортивные площадки и (или) уличные тренажеры, турники, приспособленные площадки, а с численностью населенного пункта от 50 до 500 человек допускается размещать указанные площадки, не требующие капитальных вложений.</w:t>
            </w:r>
          </w:p>
        </w:tc>
      </w:tr>
      <w:tr w:rsidR="00A810DD" w:rsidTr="00A810DD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Спортивный зал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пола на 1000 человек, кв. 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транспортная доступность, мин.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A810DD" w:rsidTr="00A810DD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Рекомендуется размещать на территории населенного пункта с численностью более 500 человек.</w:t>
            </w:r>
          </w:p>
        </w:tc>
      </w:tr>
      <w:tr w:rsidR="00A810DD" w:rsidTr="00A810DD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городской и рекреационной инфраструктуры, приспособленные для занятий физической культурой и спортом, в том числе универсальная игровая площадка, дистанция (велодорожка), спот (плаза начального уровня), площадка с тренажерами, каток (сезонный)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заданию на проектирование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транспортная доступность, мин.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</w:tbl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</w:p>
    <w:p w:rsidR="00A810DD" w:rsidRDefault="00A810DD" w:rsidP="00A810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(нормативной) пропускной способности спортивных сооружений с учетом положений </w:t>
      </w:r>
      <w:hyperlink r:id="rId22" w:history="1">
        <w:proofErr w:type="spellStart"/>
        <w:r>
          <w:rPr>
            <w:rStyle w:val="a9"/>
            <w:rFonts w:ascii="Times New Roman" w:hAnsi="Times New Roman" w:cs="Times New Roman"/>
            <w:u w:val="none"/>
          </w:rPr>
          <w:t>приказа</w:t>
        </w:r>
      </w:hyperlink>
      <w:r>
        <w:rPr>
          <w:rFonts w:ascii="Times New Roman" w:hAnsi="Times New Roman" w:cs="Times New Roman"/>
        </w:rPr>
        <w:t>Минспорта</w:t>
      </w:r>
      <w:proofErr w:type="spellEnd"/>
      <w:r>
        <w:rPr>
          <w:rFonts w:ascii="Times New Roman" w:hAnsi="Times New Roman" w:cs="Times New Roman"/>
        </w:rPr>
        <w:t xml:space="preserve">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(с последующими изменениями).</w:t>
      </w:r>
      <w:proofErr w:type="gramEnd"/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принятии органами исполнительной власти Пензенской области (муниципальными образованиями Пензенской области) решений о видах создаваемых объектов необходимо учитывать положения </w:t>
      </w:r>
      <w:hyperlink r:id="rId23" w:history="1">
        <w:proofErr w:type="spellStart"/>
        <w:r>
          <w:rPr>
            <w:rStyle w:val="a9"/>
            <w:rFonts w:ascii="Times New Roman" w:hAnsi="Times New Roman" w:cs="Times New Roman"/>
            <w:u w:val="none"/>
          </w:rPr>
          <w:t>приказа</w:t>
        </w:r>
      </w:hyperlink>
      <w:r>
        <w:rPr>
          <w:rFonts w:ascii="Times New Roman" w:hAnsi="Times New Roman" w:cs="Times New Roman"/>
        </w:rPr>
        <w:t>Минспорта</w:t>
      </w:r>
      <w:proofErr w:type="spellEnd"/>
      <w:r>
        <w:rPr>
          <w:rFonts w:ascii="Times New Roman" w:hAnsi="Times New Roman" w:cs="Times New Roman"/>
        </w:rPr>
        <w:t xml:space="preserve"> России от 21.03.2018 № 244 (с последующими изменениями).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Физкультурно-спортивные сооружения сети общего пользования следует, как правило, объединять со спортивными объектами образовательных организаций, организаций (учреждений) досуга и культуры с возможным сокращением территории.</w:t>
      </w:r>
      <w:bookmarkStart w:id="25" w:name="P1618"/>
      <w:bookmarkEnd w:id="25"/>
    </w:p>
    <w:p w:rsidR="00A810DD" w:rsidRDefault="00A810DD" w:rsidP="00A810DD">
      <w:pPr>
        <w:pStyle w:val="ConsPlusTitle"/>
        <w:outlineLvl w:val="2"/>
        <w:rPr>
          <w:rFonts w:ascii="Times New Roman" w:hAnsi="Times New Roman" w:cs="Times New Roman"/>
          <w:b w:val="0"/>
        </w:rPr>
      </w:pPr>
      <w:bookmarkStart w:id="26" w:name="P1822"/>
      <w:bookmarkEnd w:id="26"/>
    </w:p>
    <w:p w:rsidR="00A810DD" w:rsidRDefault="00A810DD" w:rsidP="00A810D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Объекты в области ритуальных услуг (места погребения)</w:t>
      </w:r>
    </w:p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2"/>
        <w:gridCol w:w="2268"/>
        <w:gridCol w:w="1815"/>
        <w:gridCol w:w="1635"/>
        <w:gridCol w:w="1410"/>
        <w:gridCol w:w="1077"/>
      </w:tblGrid>
      <w:tr w:rsidR="00A810DD" w:rsidTr="00A810DD"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объекта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A810DD" w:rsidTr="00A810DD"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</w:tr>
      <w:tr w:rsidR="00A810DD" w:rsidTr="00A810D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A810DD" w:rsidTr="00A810D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мест погребения</w:t>
            </w:r>
          </w:p>
        </w:tc>
      </w:tr>
      <w:tr w:rsidR="00A810DD" w:rsidTr="00A810DD"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Кладбище смешанного или традиционного захоронения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территории,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га</w:t>
            </w:r>
            <w:proofErr w:type="gram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0,24 на 1000 чел. </w:t>
            </w:r>
            <w:hyperlink r:id="rId24" w:anchor="P1861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 и определяется заданием на проектирование</w:t>
            </w:r>
          </w:p>
        </w:tc>
      </w:tr>
      <w:tr w:rsidR="00A810DD" w:rsidTr="00A810DD"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27" w:name="P1861"/>
            <w:bookmarkEnd w:id="27"/>
            <w:r>
              <w:rPr>
                <w:rFonts w:ascii="Times New Roman" w:hAnsi="Times New Roman" w:cs="Times New Roman"/>
                <w:lang w:eastAsia="en-US"/>
              </w:rPr>
              <w:t>&lt;*&gt; Размер земельного участка для кладбища не может превышать 40 га.</w:t>
            </w:r>
          </w:p>
        </w:tc>
      </w:tr>
      <w:tr w:rsidR="00A810DD" w:rsidTr="00A810D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Кладбище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урновых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захоронений после кремации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территории,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га</w:t>
            </w:r>
            <w:proofErr w:type="gram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0,02 на 1000 чел.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 и определяется заданием на проектирование</w:t>
            </w:r>
          </w:p>
        </w:tc>
      </w:tr>
      <w:tr w:rsidR="00A810DD" w:rsidTr="00A810D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Крематорий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заданию на проектирование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 и определяется заданием на проектирование</w:t>
            </w:r>
          </w:p>
        </w:tc>
      </w:tr>
    </w:tbl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</w:p>
    <w:p w:rsidR="00A810DD" w:rsidRDefault="00A810DD" w:rsidP="00A810D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A810DD" w:rsidRDefault="00A810DD" w:rsidP="00A810D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Размеры земельных участков, отводимых для захоронения, допускается уточнять в зависимости от соотношения кладбищ традиционного захоронения и кладбищ для погребения после кремации, устанавливаемых по местным условиям.</w:t>
      </w:r>
    </w:p>
    <w:p w:rsidR="00A810DD" w:rsidRDefault="00A810DD" w:rsidP="00A810DD">
      <w:pPr>
        <w:pStyle w:val="ConsPlusTitle"/>
        <w:outlineLvl w:val="2"/>
        <w:rPr>
          <w:rFonts w:ascii="Times New Roman" w:hAnsi="Times New Roman" w:cs="Times New Roman"/>
        </w:rPr>
      </w:pPr>
      <w:bookmarkStart w:id="28" w:name="P1877"/>
      <w:bookmarkEnd w:id="28"/>
    </w:p>
    <w:p w:rsidR="00A810DD" w:rsidRDefault="00A810DD" w:rsidP="00A810DD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A810DD" w:rsidRDefault="00A810DD" w:rsidP="00A810D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 Объекты в области благоустройства</w:t>
      </w:r>
    </w:p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16"/>
        <w:gridCol w:w="2201"/>
        <w:gridCol w:w="1723"/>
        <w:gridCol w:w="518"/>
        <w:gridCol w:w="758"/>
        <w:gridCol w:w="1649"/>
        <w:gridCol w:w="1304"/>
      </w:tblGrid>
      <w:tr w:rsidR="00A810DD" w:rsidTr="00A810D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объекта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A810DD" w:rsidTr="00A810DD">
        <w:tc>
          <w:tcPr>
            <w:tcW w:w="8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</w:tr>
      <w:tr w:rsidR="00A810DD" w:rsidTr="00A810D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A810DD" w:rsidTr="00A810D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Озелененные территории общего пользования (парки, сады, скверы, бульвары)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для городских поселений, кв. м на одного человека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8 (10) </w:t>
            </w:r>
            <w:hyperlink r:id="rId25" w:anchor="P1979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8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для сельских поселений, кв. м на одного человека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8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29" w:name="P1979"/>
            <w:bookmarkEnd w:id="29"/>
            <w:r>
              <w:rPr>
                <w:rFonts w:ascii="Times New Roman" w:hAnsi="Times New Roman" w:cs="Times New Roman"/>
                <w:lang w:eastAsia="en-US"/>
              </w:rPr>
              <w:t>&lt;*&gt; В скобках приведены размеры территорий общего пользования для малых городов с численностью населения до 20 тысяч человек.</w:t>
            </w:r>
          </w:p>
        </w:tc>
      </w:tr>
      <w:tr w:rsidR="00A810DD" w:rsidTr="00A810DD">
        <w:tc>
          <w:tcPr>
            <w:tcW w:w="8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30" w:name="P1980"/>
            <w:bookmarkEnd w:id="30"/>
            <w:r>
              <w:rPr>
                <w:rFonts w:ascii="Times New Roman" w:hAnsi="Times New Roman" w:cs="Times New Roman"/>
                <w:lang w:eastAsia="en-US"/>
              </w:rPr>
              <w:t xml:space="preserve">&lt;*&gt; Площадь территории парков, садов и скверов следует принимать,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не менее: городских парков - 15, парков планировочных районов - 10, садов жилых районов - 3, скверов - 0,5 (для условий реконструкции - не менее 0,1).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Участки для парков определяются с учетом потребности населения в озелененных территориях общего пользования, прогноза изменения на перспективу природно-климатических, социально-экономических и иных условий.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Для определения площади участка парка следует принимать расчетное число единовременных посетителей - 10% - 15% численности проживающих в зоне доступности парка.</w:t>
            </w:r>
          </w:p>
        </w:tc>
      </w:tr>
      <w:tr w:rsidR="00A810DD" w:rsidTr="00A810D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Оборудованное место массовой околоводной рекреации (пляж)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территории на человека (посетителя), 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8 </w:t>
            </w:r>
            <w:hyperlink r:id="rId26" w:anchor="P1989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транспортная доступность, мин.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A810DD" w:rsidTr="00A810DD">
        <w:tc>
          <w:tcPr>
            <w:tcW w:w="8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31" w:name="P1989"/>
            <w:bookmarkEnd w:id="31"/>
            <w:r>
              <w:rPr>
                <w:rFonts w:ascii="Times New Roman" w:hAnsi="Times New Roman" w:cs="Times New Roman"/>
                <w:lang w:eastAsia="en-US"/>
              </w:rPr>
              <w:t>&lt;*&gt; Размеры речных и озерных пляжей, размещаемых на землях, пригодных для сельскохозяйственного использования, следует принимать из расчета 4 кв. м на одного посетителя.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Размеры территории специализированных лечебных пляжей для лечащихся с ограниченной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подвижностью следует принимать из расчета 8 - 12 кв. м на одного посетителя.</w:t>
            </w:r>
            <w:proofErr w:type="gramEnd"/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Минимальную протяженность береговой полосы речных и озерных пляжей следует принимать не менее 0,25 м на одного посетителя.</w:t>
            </w:r>
          </w:p>
        </w:tc>
      </w:tr>
      <w:tr w:rsidR="00A810DD" w:rsidTr="00A810D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Площадки общего пользования различного функционального назначения в микрорайонах (кварталах) жилых зон </w:t>
            </w:r>
            <w:hyperlink r:id="rId27" w:anchor="P2029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</w:tr>
      <w:tr w:rsidR="00A810DD" w:rsidTr="00A810D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Детские игровые площадки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0,7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0,4 </w:t>
            </w:r>
            <w:hyperlink r:id="rId28" w:anchor="P2000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8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bookmarkStart w:id="32" w:name="P2000"/>
            <w:bookmarkEnd w:id="32"/>
            <w:r>
              <w:rPr>
                <w:rFonts w:ascii="Times New Roman" w:hAnsi="Times New Roman" w:cs="Times New Roman"/>
                <w:lang w:eastAsia="en-US"/>
              </w:rPr>
              <w:t>&lt;*&gt; В районах реконструкции - не менее 0,4 кв. м на человека.</w:t>
            </w:r>
          </w:p>
        </w:tc>
      </w:tr>
      <w:tr w:rsidR="00A810DD" w:rsidTr="00A810D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Площадки для отдыха взрослого населения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0,1 </w:t>
            </w:r>
            <w:hyperlink r:id="rId29" w:anchor="P2007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8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bookmarkStart w:id="33" w:name="P2007"/>
            <w:bookmarkEnd w:id="33"/>
            <w:r>
              <w:rPr>
                <w:rFonts w:ascii="Times New Roman" w:hAnsi="Times New Roman" w:cs="Times New Roman"/>
                <w:lang w:eastAsia="en-US"/>
              </w:rPr>
              <w:t>&lt;*&gt; В районах реконструкции - не менее 0,1 кв. м на человека.</w:t>
            </w:r>
          </w:p>
        </w:tc>
      </w:tr>
      <w:tr w:rsidR="00A810DD" w:rsidTr="00A810D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Площадки для занятий физкультурой взрослого населения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0,7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0,5 </w:t>
            </w:r>
            <w:hyperlink r:id="rId30" w:anchor="P2014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8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34" w:name="P2014"/>
            <w:bookmarkEnd w:id="34"/>
            <w:r>
              <w:rPr>
                <w:rFonts w:ascii="Times New Roman" w:hAnsi="Times New Roman" w:cs="Times New Roman"/>
                <w:lang w:eastAsia="en-US"/>
              </w:rPr>
              <w:t>&lt;*&gt; В районах реконструкции - не менее 0,5 кв. м на человека.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Допускается уменьшать, но не более чем на 50%, удельный размер площадок для занятий физкультурой при формировании единого физкультурно-оздоровительного комплекса микрорайона для школьников и населения.</w:t>
            </w:r>
          </w:p>
        </w:tc>
      </w:tr>
      <w:tr w:rsidR="00A810DD" w:rsidTr="00A810D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Площадки 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0,03 </w:t>
            </w:r>
            <w:hyperlink r:id="rId31" w:anchor="P2022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 м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(100 м) </w:t>
            </w:r>
            <w:hyperlink r:id="rId32" w:anchor="P2023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&lt;**&gt;</w:t>
              </w:r>
            </w:hyperlink>
          </w:p>
        </w:tc>
      </w:tr>
      <w:tr w:rsidR="00A810DD" w:rsidTr="00A810DD">
        <w:tc>
          <w:tcPr>
            <w:tcW w:w="8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35" w:name="P2022"/>
            <w:bookmarkEnd w:id="35"/>
            <w:r>
              <w:rPr>
                <w:rFonts w:ascii="Times New Roman" w:hAnsi="Times New Roman" w:cs="Times New Roman"/>
                <w:lang w:eastAsia="en-US"/>
              </w:rPr>
              <w:t>&lt;*&gt; Уточняется правилами благоустройства территории муниципального образования.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36" w:name="P2023"/>
            <w:bookmarkEnd w:id="36"/>
            <w:r>
              <w:rPr>
                <w:rFonts w:ascii="Times New Roman" w:hAnsi="Times New Roman" w:cs="Times New Roman"/>
                <w:lang w:eastAsia="en-US"/>
              </w:rPr>
              <w:t>&lt;**&gt; Расстояние от площадок для хозяйственных целей до наиболее удаленного входа в жилое здание следует принимать не более 100 м (для домов с мусоропроводами) и 50 м (для домов без мусоропроводов), но не менее 20 м от окон жилых и общественных зданий. Расстояние от контейнерных площадок до площадок для занятий физкультурой, детских игровых площадок и площадок для отдыха взрослого населения, а также до границ дошкольных образовательных организаций, медицинских организаций и предприятий питания следует принимать не менее 20 м.</w:t>
            </w:r>
          </w:p>
        </w:tc>
      </w:tr>
      <w:tr w:rsidR="00A810DD" w:rsidTr="00A810D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Площадки для стоянки автомобилей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 нормируется </w:t>
            </w:r>
            <w:hyperlink r:id="rId33" w:anchor="P2028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8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37" w:name="P2028"/>
            <w:bookmarkEnd w:id="37"/>
            <w:r>
              <w:rPr>
                <w:rFonts w:ascii="Times New Roman" w:hAnsi="Times New Roman" w:cs="Times New Roman"/>
                <w:lang w:eastAsia="en-US"/>
              </w:rPr>
              <w:t xml:space="preserve">&lt;*&gt; Размер территории площадок для стоянки автомобилей определяется с учетом количества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(парковочных мест) в соответствии с </w:t>
            </w:r>
            <w:hyperlink r:id="rId34" w:anchor="P2033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разделом 1.11.1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настоящих нормативов. При этом при расчете площади территории площадок для стоянки автомобилей следует принимать на одно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машино-место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- 25 кв. м.</w:t>
            </w:r>
          </w:p>
        </w:tc>
      </w:tr>
      <w:tr w:rsidR="00A810DD" w:rsidTr="00A810DD">
        <w:tc>
          <w:tcPr>
            <w:tcW w:w="8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38" w:name="P2029"/>
            <w:bookmarkEnd w:id="38"/>
            <w:r>
              <w:rPr>
                <w:rFonts w:ascii="Times New Roman" w:hAnsi="Times New Roman" w:cs="Times New Roman"/>
                <w:lang w:eastAsia="en-US"/>
              </w:rPr>
              <w:t>&lt;*&gt; Вокруг не менее 50% площадок (для занятий физкультурой, детских игровых площадок и площадок для отдыха взрослого населения) должно быть предусмотрено озеленение с посадкой деревьев и кустарников.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Площадки общего пользования различного назначения (для отдыха взрослого населения, детские игровые, для занятий физкультурой взрослого населения, в том числе доступные для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групп населения, площадки для стоянки автомобилей, и др.) допускается размещать на территориях общего пользования в границах микрорайонов и кварталов.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Общая площадь территории, занимаемой детскими игровыми площадками, площадками для отдыха и занятий физкультурой взрослого населения, должна быть не менее 10% общей площади микрорайона (квартала) жилой зоны и быть доступной для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групп населения.</w:t>
            </w:r>
          </w:p>
        </w:tc>
      </w:tr>
    </w:tbl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  <w:bookmarkStart w:id="39" w:name="P2033"/>
      <w:bookmarkEnd w:id="39"/>
    </w:p>
    <w:p w:rsidR="00A810DD" w:rsidRDefault="00A810DD" w:rsidP="00A810DD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40" w:name="P2302"/>
      <w:bookmarkEnd w:id="40"/>
      <w:r>
        <w:rPr>
          <w:rFonts w:ascii="Times New Roman" w:hAnsi="Times New Roman" w:cs="Times New Roman"/>
        </w:rPr>
        <w:t xml:space="preserve">1.8. Объекты для хранения и (или) паркования транспортных средств </w:t>
      </w:r>
      <w:hyperlink r:id="rId35" w:history="1">
        <w:r>
          <w:rPr>
            <w:rStyle w:val="a9"/>
            <w:rFonts w:ascii="Times New Roman" w:hAnsi="Times New Roman" w:cs="Times New Roman"/>
            <w:u w:val="none"/>
          </w:rPr>
          <w:t>&lt;*&gt;</w:t>
        </w:r>
      </w:hyperlink>
    </w:p>
    <w:p w:rsidR="00A810DD" w:rsidRDefault="00A810DD" w:rsidP="00A810DD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13"/>
        <w:gridCol w:w="2211"/>
        <w:gridCol w:w="1928"/>
        <w:gridCol w:w="1701"/>
        <w:gridCol w:w="1304"/>
        <w:gridCol w:w="945"/>
      </w:tblGrid>
      <w:tr w:rsidR="00A810DD" w:rsidTr="00A810D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Предельный показатель минимально допустимого уровня обеспеченности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Предельный показатель максимально допустимого уровня территориальной доступности</w:t>
            </w:r>
          </w:p>
        </w:tc>
      </w:tr>
      <w:tr w:rsidR="00A810DD" w:rsidTr="00A810DD"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A810DD" w:rsidTr="00A810D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для хранения легковых автомобилей населения </w:t>
            </w:r>
            <w:hyperlink r:id="rId36" w:anchor="Par15" w:history="1"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(парковочных мест) на 1000 кв. м общей площади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радиус пешеходной доступности,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(1000) </w:t>
            </w:r>
            <w:hyperlink r:id="rId37" w:anchor="Par16" w:history="1"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  <w:u w:val="none"/>
                </w:rPr>
                <w:t>&lt;**&gt;</w:t>
              </w:r>
            </w:hyperlink>
          </w:p>
        </w:tc>
      </w:tr>
      <w:tr w:rsidR="00A810DD" w:rsidTr="00A810DD"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Par15"/>
            <w:bookmarkEnd w:id="41"/>
            <w:r>
              <w:rPr>
                <w:rFonts w:ascii="Times New Roman" w:hAnsi="Times New Roman" w:cs="Times New Roman"/>
                <w:sz w:val="20"/>
                <w:szCs w:val="20"/>
              </w:rPr>
              <w:t>&lt;*&gt; Перечень объектов для хранения легковых автомобилей населения уточняется в соответствующих сводах правил, регламентирующих проектирование зданий и сооружений, площадок и помещений, предназначенных для стоянок, и определяется с учетом градостроительной ситуации, архитектурно-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планировочного решения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участка строительства.</w:t>
            </w:r>
          </w:p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Par16"/>
            <w:bookmarkEnd w:id="42"/>
            <w:r>
              <w:rPr>
                <w:rFonts w:ascii="Times New Roman" w:hAnsi="Times New Roman" w:cs="Times New Roman"/>
                <w:sz w:val="20"/>
                <w:szCs w:val="20"/>
              </w:rPr>
              <w:t>&lt;**&gt; В районах реконструкции - не более 1000 м.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Приобъектные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стоянки легковых автомобилей у зданий, сооружений, рекреационных территорий и объектов отдыха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 органов государственной власти, органов местного самоуправления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220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Административно-управленческие учреждения, иностранные представительства, представительства субъектов Российской Федерации, здания и помещения общественных организаций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120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50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Профессиональные образовательные организации, образовательные организации дополнительного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3 преподавателя,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занятых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одну смену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25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Научно-исследовательские и проектные институты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170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8 работающих в двух смежных сменах,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100 человек, работающих в двух смежных сменах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Рынки постоянные: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универсальные и непродовольственные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40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и сельскохозяйственные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50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коммунально-бытового обслуживания (бани)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6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Выставочно-музейные комплексы, музеи-заповедники, музеи, галереи, выставочные 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8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Здания театрально-зрелищные: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2.12.1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7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r:id="rId38" w:anchor="Par124" w:history="1"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  <w:u w:val="none"/>
                </w:rPr>
                <w:t>&lt;*&gt;</w:t>
              </w:r>
            </w:hyperlink>
            <w:hyperlink r:id="rId39" w:anchor="Par125" w:history="1"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r:id="rId40" w:anchor="Par124" w:history="1"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  <w:u w:val="none"/>
                </w:rPr>
                <w:t>&lt;*&gt;</w:t>
              </w:r>
            </w:hyperlink>
            <w:hyperlink r:id="rId41" w:anchor="Par125" w:history="1"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2.12.3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12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r:id="rId42" w:anchor="Par124" w:history="1"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  <w:u w:val="none"/>
                </w:rPr>
                <w:t>&lt;*&gt;</w:t>
              </w:r>
            </w:hyperlink>
            <w:hyperlink r:id="rId43" w:anchor="Par125" w:history="1"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Par124"/>
            <w:bookmarkEnd w:id="4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&lt;*&gt; Дополнительно следует предусматривать места для легковых автомобилей работников и служащих театрально-зрелищного учреждения из расчета одно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 сотрудников.</w:t>
            </w:r>
          </w:p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Par125"/>
            <w:bookmarkEnd w:id="4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&lt;**&gt; При реконструкции требуемое число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по заданию на проектирование.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8 постоянных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регионального, зонального, межрайонного уровня, оказывающие медицинскую помощь в стационарных условиях (больницы, диспансеры, перинатальные центры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100 коек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городского, районного, участкового уровня, оказывающие медицинскую помощь в стационарных условиях (больницы, диспансеры, родильные дома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100 коек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Лечебно-профилактические медицинские организации (поликлиники, в том числе амбулатории)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100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комплексы и стадионы с трибунами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30 мест на трибунах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Оздоровительные комплексы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фитнес-клубы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физкультурно-оздоровительные комплексы, спортивные и тренажерные залы)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55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Тренажерные залы площадью 150 - 500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комплексы с залом площадью 1000 - 2000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комплексы с залом и бассейном общей площадью 2000 - 3000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Специализированные спортивные клубы и комплексы (теннис, конный спорт, горнолыжные центры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Аквапарки, бассейны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Катки с искусственным покрытием общей площадью более 3000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Железнодорожные 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 пассажиров дальнего следования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15 пассажиров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Аэровокзалы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8 пассажиров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Пляжи и парки в зонах отдыха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Лесопарки и заповедники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Базы кратковременного отдыха (спортивные, лыжные, рыболовные, охотничьи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Береговые базы маломерного флота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 отдыха и санатории, санатории-профилактории, базы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отдыха предприятий и туристские базы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100 человек отдыхающих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обслуживающего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A810DD" w:rsidTr="00A810DD"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DD" w:rsidRDefault="00A810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&lt;*&gt; На стоянке (парковке) транспортных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сл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едует предусматривать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людей с инвалидностью в соответствии с требованиями </w:t>
            </w:r>
            <w:hyperlink r:id="rId44" w:history="1"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  <w:u w:val="none"/>
                </w:rPr>
                <w:t>СП 59.13330.2016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45" w:history="1"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  <w:u w:val="none"/>
                </w:rPr>
                <w:t>СП 113.13330.2016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последующими изменениями).</w:t>
            </w:r>
          </w:p>
          <w:p w:rsidR="00A810DD" w:rsidRDefault="00A810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Места для стоянки (парковки) транспортных средств, управляемых инвалидами или перевозящих инвалидов, следует размещать вблизи входа в предприятие, организацию или в учреждение, доступного для инвалидов, но не далее 50 м, от входа в жилое здание - не далее 100 м.</w:t>
            </w:r>
          </w:p>
        </w:tc>
      </w:tr>
    </w:tbl>
    <w:p w:rsidR="00A810DD" w:rsidRDefault="00A810DD" w:rsidP="00A810DD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A810DD" w:rsidRDefault="00A810DD" w:rsidP="00A810D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 Объекты инфраструктуры велосипедного транспорта</w:t>
      </w:r>
    </w:p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13"/>
        <w:gridCol w:w="2211"/>
        <w:gridCol w:w="1928"/>
        <w:gridCol w:w="1701"/>
        <w:gridCol w:w="1304"/>
        <w:gridCol w:w="945"/>
      </w:tblGrid>
      <w:tr w:rsidR="00A810DD" w:rsidTr="00A810D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объекта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A810DD" w:rsidTr="00A810DD"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величина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Система объектов инфраструктуры велосипедного транспорта в границах сельских населенных пунктов </w:t>
            </w:r>
            <w:hyperlink r:id="rId46" w:anchor="P2368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&lt;1&gt;</w:t>
              </w:r>
            </w:hyperlink>
          </w:p>
        </w:tc>
      </w:tr>
      <w:tr w:rsidR="00A810DD" w:rsidTr="00A810D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45" w:name="P2322"/>
            <w:bookmarkEnd w:id="45"/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Велосипедная дорожка в пределах квартала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(объект)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 </w:t>
            </w:r>
            <w:hyperlink r:id="rId47" w:anchor="P2392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Определяется заданием на проектирование</w:t>
            </w:r>
          </w:p>
        </w:tc>
        <w:tc>
          <w:tcPr>
            <w:tcW w:w="3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Велосипедная дорожка в пределах микрорайона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(объект)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 </w:t>
            </w:r>
            <w:hyperlink r:id="rId48" w:anchor="P2392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Определяется заданием на проектирование</w:t>
            </w:r>
          </w:p>
        </w:tc>
        <w:tc>
          <w:tcPr>
            <w:tcW w:w="3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Велосипедная дорожка в пределах жилого района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(объект)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1 (включает в себя велосипедные дорожки кварталов,</w:t>
            </w:r>
            <w:proofErr w:type="gramEnd"/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микрорайонов, объединенных участками, пересекающими магистральные улицы регулируемого движения,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улицы и дороги местного значения, либо находящиеся в составе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поперечного профиля указанных улиц и дорог)</w:t>
            </w:r>
          </w:p>
          <w:p w:rsidR="00A810DD" w:rsidRDefault="00F0380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49" w:anchor="P2392" w:history="1">
              <w:r w:rsidR="00A810DD"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не нормируется</w:t>
            </w:r>
          </w:p>
        </w:tc>
      </w:tr>
      <w:tr w:rsidR="00A810DD" w:rsidTr="00A810DD"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определяется заданием на проектирование</w:t>
            </w:r>
          </w:p>
        </w:tc>
        <w:tc>
          <w:tcPr>
            <w:tcW w:w="3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46" w:name="P2349"/>
            <w:bookmarkEnd w:id="46"/>
            <w:r>
              <w:rPr>
                <w:rFonts w:ascii="Times New Roman" w:hAnsi="Times New Roman" w:cs="Times New Roman"/>
                <w:lang w:eastAsia="en-US"/>
              </w:rPr>
              <w:t>1.4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Велосипедные дорожки в парках культуры и отдыха, городских парках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(объект)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на объект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rPr>
          <w:trHeight w:val="818"/>
        </w:trPr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определяется заданием на проектирование </w:t>
            </w:r>
            <w:hyperlink r:id="rId50" w:anchor="P2393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Велосипедные дорожки в составе поперечного профиля улично-дорожной сети магистральных улиц регулируемого движения,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улиц и дорог местного значения, в том числе обеспечивающие связь велосипедных дорожек, указанных в </w:t>
            </w:r>
            <w:hyperlink r:id="rId51" w:anchor="P2322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пунктах 1.1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- </w:t>
            </w:r>
            <w:hyperlink r:id="rId52" w:anchor="P2349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1.4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(объект)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определяется необходимостью обеспечения связей велосипедных дорожек, указанных в </w:t>
            </w:r>
            <w:hyperlink r:id="rId53" w:anchor="P2322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пунктах 1.1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- </w:t>
            </w:r>
            <w:hyperlink r:id="rId54" w:anchor="P2349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1.4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>, в единую сеть</w:t>
            </w:r>
          </w:p>
          <w:p w:rsidR="00A810DD" w:rsidRDefault="00F0380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55" w:anchor="P2392" w:history="1">
              <w:r w:rsidR="00A810DD"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определяется заданием на проектирование </w:t>
            </w:r>
            <w:hyperlink r:id="rId56" w:anchor="P2394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&lt;***&gt;</w:t>
              </w:r>
            </w:hyperlink>
          </w:p>
        </w:tc>
        <w:tc>
          <w:tcPr>
            <w:tcW w:w="3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DD" w:rsidRDefault="00A810D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47" w:name="P2368"/>
            <w:bookmarkEnd w:id="47"/>
            <w:r>
              <w:rPr>
                <w:rFonts w:ascii="Times New Roman" w:hAnsi="Times New Roman" w:cs="Times New Roman"/>
                <w:lang w:eastAsia="en-US"/>
              </w:rPr>
              <w:t>&lt;1&gt; Система объектов инфраструктуры велосипедного транспорта (далее - система) в границах сельских населенных пунктов в зависимости от их планировочных особенностей включает велосипедные дорожки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велопешеходные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дорожки, а также полосы для велосипедистов):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кварталов (передвижение внутри квартала,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велотранспортные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маршруты, обеспечивающие доступ к жилым зданиям и другим местам притяжения, характеризующиеся низкой скоростью, низкой интенсивностью движения);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микрорайонов (передвижение внутри микрорайона,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велотранспортные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маршруты, обеспечивающие доступ к жилым зданиям и другим местам притяжения, характеризующиеся низкой скоростью, низкой интенсивностью движения);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жилых районов (передвижение между микрорайонами и кварталами в пределах жилого района) общегородского значении (передвижение между жилыми районами, жилыми районами и рекреационными территориями,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велотранспортные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маршруты, обеспечивающие быстрое и беспрепятственное передвижение между частями населенного пункта);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в составе поперечного профиля улично-дорожной сети.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Цели создания системы: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повышение удобства передвижения на расстояния до 10 - 15 км;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повышение доступности территорий;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решение транспортных, экологических, социальных проблем;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сокращение затрат на здравоохранение;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повышение качества среды обитания за счет сокращения числа поездок на автомобилях на расстояния до 10 - 15 км.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Система формируется в составе концепций благоустройства территорий населенного пункта, либо проектной документации по благоустройству отдельных территорий населенного пункта, либо комплексных схем организации дорожного движения, либо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проектов организации дорожного движения, либо при разработке проектов планировки территорий населенного пункта, в случае если в состав таких проектов включаются проекты организации дорожного движения, разрабатываемые в соответствии с требованиями Федерального </w:t>
            </w:r>
            <w:hyperlink r:id="rId57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закона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"Об организации дорожного движения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 Российской Федерации и о внесении изменений в отдельные законодательные акты Российской Федерации".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 создании велосипедных путей рекомендуется связывать все части населенного пункта, создавая условия для беспрепятственного передвижения на велосипеде.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Типология объектов велосипедной инфраструктуры зависит от их функции (транспортная или рекреационная), роли в масштабе муниципального образования и характеристик автомобильного и пешеходного трафика пространств, в которые интегрируется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велодвижение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В зависимости от этих факторов могут применяться различные решения -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проездах, где скоростной режим не превышает 30 км/ч.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 проектировании и устройстве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велополос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велопешеходных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дорожек следует соблюдать следующие рекомендации: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велополосы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велопешеходные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дорожки необходимо проектировать таким образом, чтобы они обеспечивали непрерывность всего комплекса пешеходных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велотранспортных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маршрутов, а также свободный доступ для всех велосипедистов к объектам тяготения (зданиям, сооружениям, объектам транспортной инфраструктуры и пр.);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велотранспортные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маршруты следует прокладывать по кратчайшим путям с учетом обеспечения безопасности движения;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велополосы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велопешеходные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дорожки следует выполнять, по возможности, без изменения продольного профиля участка, с минимальным числом пересечений с проезжей частью улиц;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обустройство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велопешеходных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дорожек должно обеспечивать комфортность движения по ним всех предполагаемых (прогнозируемых) групп пользователей;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решетки водостока, размещаемые при необходимости на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велопешеходных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дорожках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велополосах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должны выполняться со щелями, направленными поперек направления движения велосипедистов.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Велополосы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сети дорог выделяются и обозначаются дорожными знаками и разметкой в соответствии с Правилами дорожного движения и </w:t>
            </w:r>
            <w:hyperlink r:id="rId58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 xml:space="preserve">ГОСТ </w:t>
              </w:r>
              <w:proofErr w:type="gramStart"/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Р</w:t>
              </w:r>
              <w:proofErr w:type="gramEnd"/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 xml:space="preserve"> 52289-2019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Велосипедные дорожки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велопешеходные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дорожки, образующие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велотранспортные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маршруты местного значения, должны соединяться между собой с обеспечением сквозного проезда в соседние кварталы для создания непрерывной сети велодорожек.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Веломаршруты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движения, в том числе искусственных неровностей в соответствии с </w:t>
            </w:r>
            <w:hyperlink r:id="rId59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 xml:space="preserve">ГОСТ </w:t>
              </w:r>
              <w:proofErr w:type="gramStart"/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Р</w:t>
              </w:r>
              <w:proofErr w:type="gramEnd"/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 xml:space="preserve"> 52605-2006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"Технические средства организации дорожного движения. Искусственные неровности. Общие технические требования. Правила применения".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 дворах жилых домов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велополосы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не устраиваются.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48" w:name="P2392"/>
            <w:bookmarkEnd w:id="48"/>
            <w:r>
              <w:rPr>
                <w:rFonts w:ascii="Times New Roman" w:hAnsi="Times New Roman" w:cs="Times New Roman"/>
                <w:lang w:eastAsia="en-US"/>
              </w:rPr>
              <w:t>&lt;*&gt; В условиях реконструкции застройки кварталов, микрорайонов, жилых районов, а также улично-дорожной сети возможность создания велодорожек определяется наличием соответствующих территорий для их размещения,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49" w:name="P2393"/>
            <w:bookmarkEnd w:id="49"/>
            <w:r>
              <w:rPr>
                <w:rFonts w:ascii="Times New Roman" w:hAnsi="Times New Roman" w:cs="Times New Roman"/>
                <w:lang w:eastAsia="en-US"/>
              </w:rPr>
              <w:t>&lt;**&gt; В зонах массового отдыха населения и на других озелененных территориях следует предусматривать велосипедные дорожки, изолированные от улиц, дорог и пешеходного движения.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50" w:name="P2394"/>
            <w:bookmarkEnd w:id="50"/>
            <w:r>
              <w:rPr>
                <w:rFonts w:ascii="Times New Roman" w:hAnsi="Times New Roman" w:cs="Times New Roman"/>
                <w:lang w:eastAsia="en-US"/>
              </w:rPr>
              <w:t xml:space="preserve">&lt;***&gt; На магистральных улицах регулируемого движения допускается предусматривать велосипедные дорожки, выделенные разделительными полосами. Допускается устраивать велосипедные полосы по краю улиц и дорог местного значения. Ширина полосы должна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быть не менее 1,2 м при движении в направлении транспортного потока и не менее 1,5 м при встречном движении. Ширина велосипедной полосы, устраиваемой вдоль тротуара, должна быть не менее 1 м.</w:t>
            </w:r>
          </w:p>
        </w:tc>
      </w:tr>
      <w:tr w:rsidR="00A810DD" w:rsidTr="00A810D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Система объектов инфраструктуры велосипедного транспорта за границами сельских населенных пунктов </w:t>
            </w:r>
            <w:hyperlink r:id="rId60" w:anchor="P2405" w:history="1">
              <w:r>
                <w:rPr>
                  <w:rStyle w:val="a9"/>
                  <w:rFonts w:ascii="Times New Roman" w:hAnsi="Times New Roman" w:cs="Times New Roman"/>
                  <w:u w:val="none"/>
                  <w:lang w:eastAsia="en-US"/>
                </w:rPr>
                <w:t>&lt;1&gt;</w:t>
              </w:r>
            </w:hyperlink>
          </w:p>
        </w:tc>
      </w:tr>
      <w:tr w:rsidR="00A810DD" w:rsidTr="00A810D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Велосипедные дорожки на подходах к населенным пунктам, к местам рекреаций, местам приложения труда и на туристических маршрутах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(объект)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нормируется</w:t>
            </w:r>
          </w:p>
        </w:tc>
      </w:tr>
      <w:tr w:rsidR="00A810DD" w:rsidTr="00A810DD">
        <w:tc>
          <w:tcPr>
            <w:tcW w:w="8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протяженность,</w:t>
            </w:r>
          </w:p>
          <w:p w:rsidR="00A810DD" w:rsidRDefault="00A810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0DD" w:rsidRDefault="00A81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0DD" w:rsidTr="00A810DD"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51" w:name="P2405"/>
            <w:bookmarkEnd w:id="51"/>
            <w:r>
              <w:rPr>
                <w:rFonts w:ascii="Times New Roman" w:hAnsi="Times New Roman" w:cs="Times New Roman"/>
                <w:lang w:eastAsia="en-US"/>
              </w:rPr>
              <w:t>&lt;1&gt;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пункта, особенностей прилегающих территорий включает велосипедные дорожки: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на подходах к населенным пунктам;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к местам рекреаций;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на туристических маршрутах;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к местам приложения труда.</w:t>
            </w:r>
          </w:p>
          <w:p w:rsidR="00A810DD" w:rsidRDefault="00A810D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Велосипедные дорожки на подходах к населенным пунктам должны присоединяться к системе объектов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велотранспортной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инфраструктуры населенных пунктов в целях обеспечения непрерывности велосипедного движения.</w:t>
            </w:r>
          </w:p>
        </w:tc>
      </w:tr>
    </w:tbl>
    <w:p w:rsidR="00A810DD" w:rsidRDefault="00A810DD" w:rsidP="00A810DD">
      <w:pPr>
        <w:pStyle w:val="ConsPlusTitle"/>
        <w:outlineLvl w:val="1"/>
        <w:rPr>
          <w:rFonts w:ascii="Times New Roman" w:hAnsi="Times New Roman" w:cs="Times New Roman"/>
        </w:rPr>
      </w:pPr>
    </w:p>
    <w:p w:rsidR="00A810DD" w:rsidRDefault="00A810DD" w:rsidP="00A810D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Материалы по обоснованию расчетных показателей,</w:t>
      </w:r>
    </w:p>
    <w:p w:rsidR="00A810DD" w:rsidRDefault="00A810DD" w:rsidP="00A810D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содержащихся в основной части местных нормативов</w:t>
      </w:r>
    </w:p>
    <w:p w:rsidR="00A810DD" w:rsidRDefault="00A810DD" w:rsidP="00A810D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градостроительного проектирования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</w:t>
      </w:r>
    </w:p>
    <w:p w:rsidR="00A810DD" w:rsidRDefault="00A810DD" w:rsidP="00A810DD">
      <w:pPr>
        <w:pStyle w:val="ConsPlusTitle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</w:t>
      </w:r>
    </w:p>
    <w:p w:rsidR="00A810DD" w:rsidRDefault="00A810DD" w:rsidP="00A810DD">
      <w:pPr>
        <w:pStyle w:val="ConsPlusNormal"/>
        <w:jc w:val="both"/>
        <w:rPr>
          <w:rFonts w:ascii="Times New Roman" w:hAnsi="Times New Roman" w:cs="Times New Roman"/>
        </w:rPr>
      </w:pPr>
    </w:p>
    <w:p w:rsidR="00A810DD" w:rsidRDefault="00A810DD" w:rsidP="00A810D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proofErr w:type="gramStart"/>
      <w:r>
        <w:rPr>
          <w:rFonts w:ascii="Times New Roman" w:hAnsi="Times New Roman" w:cs="Times New Roman"/>
        </w:rPr>
        <w:t xml:space="preserve">Обоснование расчетных показателей и предельных значений расчетных показателей минимально допустимого уровня обеспеченности автомобильными дорогами местного значения 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содержащихся в </w:t>
      </w:r>
      <w:hyperlink r:id="rId61" w:anchor="P44" w:history="1">
        <w:r>
          <w:rPr>
            <w:rStyle w:val="a9"/>
            <w:rFonts w:ascii="Times New Roman" w:hAnsi="Times New Roman" w:cs="Times New Roman"/>
            <w:u w:val="none"/>
          </w:rPr>
          <w:t>разделе 1.1 части 1</w:t>
        </w:r>
      </w:hyperlink>
      <w:r>
        <w:rPr>
          <w:rFonts w:ascii="Times New Roman" w:hAnsi="Times New Roman" w:cs="Times New Roman"/>
        </w:rPr>
        <w:t xml:space="preserve"> местных  нормативов градостроительного проектирования Пензенской области.</w:t>
      </w:r>
      <w:proofErr w:type="gramEnd"/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1.1 в части обеспеченности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62" w:history="1">
        <w:r>
          <w:rPr>
            <w:rStyle w:val="a9"/>
            <w:rFonts w:ascii="Times New Roman" w:hAnsi="Times New Roman" w:cs="Times New Roman"/>
            <w:u w:val="none"/>
          </w:rPr>
          <w:t>пункта 1.11</w:t>
        </w:r>
      </w:hyperlink>
      <w:r>
        <w:rPr>
          <w:rFonts w:ascii="Times New Roman" w:hAnsi="Times New Roman" w:cs="Times New Roman"/>
        </w:rPr>
        <w:t xml:space="preserve"> "Руководства по проектированию городских улиц и дорог", разработанного ЦНИИП градостроительства.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1.2 в части обеспеченности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63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 xml:space="preserve"> (с последующими изменениями).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proofErr w:type="gramStart"/>
      <w:r>
        <w:rPr>
          <w:rFonts w:ascii="Times New Roman" w:hAnsi="Times New Roman" w:cs="Times New Roman"/>
        </w:rPr>
        <w:t xml:space="preserve">Обоснование расчетных показателей и предельных значений расчетных показателей минимально допустимого уровня обеспеченности объектами, обеспечивающими осуществление деятельности органов власти Пензенской области  местного значения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содержащихся в </w:t>
      </w:r>
      <w:hyperlink r:id="rId64" w:anchor="P295" w:history="1">
        <w:r>
          <w:rPr>
            <w:rStyle w:val="a9"/>
            <w:rFonts w:ascii="Times New Roman" w:hAnsi="Times New Roman" w:cs="Times New Roman"/>
            <w:u w:val="none"/>
          </w:rPr>
          <w:t>разделе 1.2 части 1</w:t>
        </w:r>
      </w:hyperlink>
      <w:r>
        <w:rPr>
          <w:rFonts w:ascii="Times New Roman" w:hAnsi="Times New Roman" w:cs="Times New Roman"/>
        </w:rPr>
        <w:t xml:space="preserve"> местных нормативов градостроительного</w:t>
      </w:r>
      <w:proofErr w:type="gramEnd"/>
      <w:r>
        <w:rPr>
          <w:rFonts w:ascii="Times New Roman" w:hAnsi="Times New Roman" w:cs="Times New Roman"/>
        </w:rPr>
        <w:t xml:space="preserve"> проектирования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и сельского поселений: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 в части: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обеспеченности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65" w:history="1">
        <w:proofErr w:type="spellStart"/>
        <w:r>
          <w:rPr>
            <w:rStyle w:val="a9"/>
            <w:rFonts w:ascii="Times New Roman" w:hAnsi="Times New Roman" w:cs="Times New Roman"/>
            <w:u w:val="none"/>
          </w:rPr>
          <w:t>СНиП</w:t>
        </w:r>
        <w:proofErr w:type="spellEnd"/>
        <w:r>
          <w:rPr>
            <w:rStyle w:val="a9"/>
            <w:rFonts w:ascii="Times New Roman" w:hAnsi="Times New Roman" w:cs="Times New Roman"/>
            <w:u w:val="none"/>
          </w:rPr>
          <w:t xml:space="preserve"> 31-05-2003</w:t>
        </w:r>
      </w:hyperlink>
      <w:r>
        <w:rPr>
          <w:rFonts w:ascii="Times New Roman" w:hAnsi="Times New Roman" w:cs="Times New Roman"/>
        </w:rPr>
        <w:t>;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территориальной доступности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66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>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proofErr w:type="gramStart"/>
      <w:r>
        <w:rPr>
          <w:rFonts w:ascii="Times New Roman" w:hAnsi="Times New Roman" w:cs="Times New Roman"/>
        </w:rPr>
        <w:t xml:space="preserve">Обоснование расчетных показателей и предельных значений расчетных показателей минимально допустимого уровня обеспеченности объектами инженерной инфраструктуры  местного значения, в том числе линейными и объектами энергетики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содержащихся в </w:t>
      </w:r>
      <w:hyperlink r:id="rId67" w:anchor="P479" w:history="1">
        <w:r>
          <w:rPr>
            <w:rStyle w:val="a9"/>
            <w:rFonts w:ascii="Times New Roman" w:hAnsi="Times New Roman" w:cs="Times New Roman"/>
            <w:u w:val="none"/>
          </w:rPr>
          <w:t>разделе 1.3 части 1</w:t>
        </w:r>
      </w:hyperlink>
      <w:r>
        <w:rPr>
          <w:rFonts w:ascii="Times New Roman" w:hAnsi="Times New Roman" w:cs="Times New Roman"/>
        </w:rPr>
        <w:t xml:space="preserve"> местных</w:t>
      </w:r>
      <w:proofErr w:type="gramEnd"/>
      <w:r>
        <w:rPr>
          <w:rFonts w:ascii="Times New Roman" w:hAnsi="Times New Roman" w:cs="Times New Roman"/>
        </w:rPr>
        <w:t xml:space="preserve"> нормативов градостроительного проектирования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муниципального района, городского округа, городского и сельского поселений: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1.1.1 в части обеспеченности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68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>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1.2.1, № 2.3.1 в части обеспеченности приняты на основе </w:t>
      </w:r>
      <w:hyperlink r:id="rId69" w:history="1">
        <w:r>
          <w:rPr>
            <w:rStyle w:val="a9"/>
            <w:rFonts w:ascii="Times New Roman" w:hAnsi="Times New Roman" w:cs="Times New Roman"/>
            <w:u w:val="none"/>
          </w:rPr>
          <w:t>СП 42-101-2003</w:t>
        </w:r>
      </w:hyperlink>
      <w:r>
        <w:rPr>
          <w:rFonts w:ascii="Times New Roman" w:hAnsi="Times New Roman" w:cs="Times New Roman"/>
        </w:rPr>
        <w:t>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1.4.1 в части обеспеченности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свода </w:t>
      </w:r>
      <w:hyperlink r:id="rId70" w:history="1">
        <w:r>
          <w:rPr>
            <w:rStyle w:val="a9"/>
            <w:rFonts w:ascii="Times New Roman" w:hAnsi="Times New Roman" w:cs="Times New Roman"/>
            <w:u w:val="none"/>
          </w:rPr>
          <w:t>правил</w:t>
        </w:r>
      </w:hyperlink>
      <w:r>
        <w:rPr>
          <w:rFonts w:ascii="Times New Roman" w:hAnsi="Times New Roman" w:cs="Times New Roman"/>
        </w:rPr>
        <w:t xml:space="preserve"> «СП 31.13330.2012. Свод правил. Водоснабжение. Наружные сети и сооружения. Актуализированная редакция </w:t>
      </w:r>
      <w:proofErr w:type="spellStart"/>
      <w:r>
        <w:rPr>
          <w:rFonts w:ascii="Times New Roman" w:hAnsi="Times New Roman" w:cs="Times New Roman"/>
        </w:rPr>
        <w:t>СНиП</w:t>
      </w:r>
      <w:proofErr w:type="spellEnd"/>
      <w:r>
        <w:rPr>
          <w:rFonts w:ascii="Times New Roman" w:hAnsi="Times New Roman" w:cs="Times New Roman"/>
        </w:rPr>
        <w:t xml:space="preserve"> 2.04.02-84*», утвержденного Приказом Министерства регионального развития Российской Федерации от 29.12.2011                  № 635/14 (с последующими изменениями).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1.5.1 в части обеспеченности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71" w:history="1">
        <w:r>
          <w:rPr>
            <w:rStyle w:val="a9"/>
            <w:rFonts w:ascii="Times New Roman" w:hAnsi="Times New Roman" w:cs="Times New Roman"/>
            <w:u w:val="none"/>
          </w:rPr>
          <w:t>свода</w:t>
        </w:r>
      </w:hyperlink>
      <w:r>
        <w:rPr>
          <w:rFonts w:ascii="Times New Roman" w:hAnsi="Times New Roman" w:cs="Times New Roman"/>
        </w:rPr>
        <w:t xml:space="preserve"> правил «СП 32.13330.2018. Свод правил. Канализация. Наружные сети и сооружения. </w:t>
      </w:r>
      <w:proofErr w:type="spellStart"/>
      <w:r>
        <w:rPr>
          <w:rFonts w:ascii="Times New Roman" w:hAnsi="Times New Roman" w:cs="Times New Roman"/>
        </w:rPr>
        <w:t>СНиП</w:t>
      </w:r>
      <w:proofErr w:type="spellEnd"/>
      <w:r>
        <w:rPr>
          <w:rFonts w:ascii="Times New Roman" w:hAnsi="Times New Roman" w:cs="Times New Roman"/>
        </w:rPr>
        <w:t xml:space="preserve"> 2.04.03-85», утвержденного приказом Минстроя России от 25.12.2018 № 860/</w:t>
      </w: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 xml:space="preserve"> (с последующими изменениями).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proofErr w:type="gramStart"/>
      <w:r>
        <w:rPr>
          <w:rFonts w:ascii="Times New Roman" w:hAnsi="Times New Roman" w:cs="Times New Roman"/>
        </w:rPr>
        <w:t xml:space="preserve">Обоснование расчетных показателей и предельных значений расчетных показателей минимально допустимого уровня обеспеченности объектами в области культуры и досуга  местного значения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содержащихся в </w:t>
      </w:r>
      <w:hyperlink r:id="rId72" w:anchor="P1090" w:history="1">
        <w:r>
          <w:rPr>
            <w:rStyle w:val="a9"/>
            <w:rFonts w:ascii="Times New Roman" w:hAnsi="Times New Roman" w:cs="Times New Roman"/>
            <w:u w:val="none"/>
          </w:rPr>
          <w:t>разделе 1.4 части 1</w:t>
        </w:r>
      </w:hyperlink>
      <w:r>
        <w:rPr>
          <w:rFonts w:ascii="Times New Roman" w:hAnsi="Times New Roman" w:cs="Times New Roman"/>
        </w:rPr>
        <w:t xml:space="preserve"> местных нормативов градостроительного проектирования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1.1.1 - № 1.1.3, № 1.2.1 в части обеспеченности и территориальной доступности приняты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1.2.2 в части: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обеспеченности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культуры;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территориальной доступности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73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>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1.3.1 в части обеспеченности и территориальной доступности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proofErr w:type="gramStart"/>
      <w:r>
        <w:rPr>
          <w:rFonts w:ascii="Times New Roman" w:hAnsi="Times New Roman" w:cs="Times New Roman"/>
        </w:rPr>
        <w:t xml:space="preserve">Обоснование расчетных показателей и предельных значений расчетных показателей минимально допустимого уровня обеспеченности объектами в области физической культуры и спорта  местного значения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содержащихся в </w:t>
      </w:r>
      <w:hyperlink r:id="rId74" w:anchor="P1391" w:history="1">
        <w:r>
          <w:rPr>
            <w:rStyle w:val="a9"/>
            <w:rFonts w:ascii="Times New Roman" w:hAnsi="Times New Roman" w:cs="Times New Roman"/>
            <w:u w:val="none"/>
          </w:rPr>
          <w:t>разделе 1.5 части 1</w:t>
        </w:r>
      </w:hyperlink>
      <w:r>
        <w:rPr>
          <w:rFonts w:ascii="Times New Roman" w:hAnsi="Times New Roman" w:cs="Times New Roman"/>
        </w:rPr>
        <w:t xml:space="preserve"> местных нормативов градостроительного </w:t>
      </w:r>
      <w:proofErr w:type="spellStart"/>
      <w:r>
        <w:rPr>
          <w:rFonts w:ascii="Times New Roman" w:hAnsi="Times New Roman" w:cs="Times New Roman"/>
        </w:rPr>
        <w:t>проектированияБольшеумысского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№ 1.1 в части обеспеченности и территориальной доступности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75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 xml:space="preserve">         (с последующими изменениями).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1.2 в части: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обеспеченности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Методических рекомендаций по размещению объектов массового спорта в субъектах Российской Федерации;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территориальной доступности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76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 xml:space="preserve"> (с последующими изменениями).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1.3 в части обеспеченности и территориальной доступности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77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 xml:space="preserve">          (с последующими изменениями).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1.4 в части обеспеченности и территориальной доступности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78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 xml:space="preserve">                 (с последующими изменениями).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2.6 Обоснование предельных значений расчетных показателей минимально допустимого уровня обеспеченности объектами в области ритуальных услуг (места погребения) местного значения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предельных значений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содержащихся в </w:t>
      </w:r>
      <w:hyperlink r:id="rId79" w:anchor="P1822" w:history="1">
        <w:r>
          <w:rPr>
            <w:rStyle w:val="a9"/>
            <w:rFonts w:ascii="Times New Roman" w:hAnsi="Times New Roman" w:cs="Times New Roman"/>
            <w:u w:val="none"/>
          </w:rPr>
          <w:t>разделе 1.6 части 1</w:t>
        </w:r>
      </w:hyperlink>
      <w:r>
        <w:rPr>
          <w:rFonts w:ascii="Times New Roman" w:hAnsi="Times New Roman" w:cs="Times New Roman"/>
        </w:rPr>
        <w:t xml:space="preserve"> региональных нормативов градостроительного проектирования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</w:t>
      </w:r>
      <w:proofErr w:type="gramEnd"/>
      <w:r>
        <w:rPr>
          <w:rFonts w:ascii="Times New Roman" w:hAnsi="Times New Roman" w:cs="Times New Roman"/>
        </w:rPr>
        <w:t xml:space="preserve"> области.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округа, городского и сельского поселений: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1.1.1, № 1.1.2 в части обеспеченности и территориальной доступности приняты на основе </w:t>
      </w:r>
      <w:hyperlink r:id="rId80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>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1.1.3 в части обеспеченности и территориальной доступности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81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>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</w:t>
      </w:r>
      <w:proofErr w:type="gramStart"/>
      <w:r>
        <w:rPr>
          <w:rFonts w:ascii="Times New Roman" w:hAnsi="Times New Roman" w:cs="Times New Roman"/>
        </w:rPr>
        <w:t xml:space="preserve">Обоснование предельных значений расчетных показателей минимально допустимого уровня обеспеченности объектами в области благоустройства местного значения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предельных значений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содержащихся в </w:t>
      </w:r>
      <w:hyperlink r:id="rId82" w:anchor="P1877" w:history="1">
        <w:r>
          <w:rPr>
            <w:rStyle w:val="a9"/>
            <w:rFonts w:ascii="Times New Roman" w:hAnsi="Times New Roman" w:cs="Times New Roman"/>
            <w:u w:val="none"/>
          </w:rPr>
          <w:t>разделе 1.7 части 1</w:t>
        </w:r>
      </w:hyperlink>
      <w:r>
        <w:rPr>
          <w:rFonts w:ascii="Times New Roman" w:hAnsi="Times New Roman" w:cs="Times New Roman"/>
        </w:rPr>
        <w:t xml:space="preserve"> местных нормативов градостроительного проектирования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области.</w:t>
      </w:r>
      <w:proofErr w:type="gramEnd"/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и сельского поселений: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1.1, № 1.2 в части обеспеченности и территориальной доступности приняты на основе </w:t>
      </w:r>
      <w:hyperlink r:id="rId83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 xml:space="preserve"> (с последующими изменениями).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1.3.1, № 1.3.2, № 1.3.3, № 1.3.5 в части обеспеченности приняты на основе </w:t>
      </w:r>
      <w:hyperlink r:id="rId84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 xml:space="preserve">                 (с последующими изменениями), </w:t>
      </w:r>
      <w:hyperlink r:id="rId85" w:history="1">
        <w:r>
          <w:rPr>
            <w:rStyle w:val="a9"/>
            <w:rFonts w:ascii="Times New Roman" w:hAnsi="Times New Roman" w:cs="Times New Roman"/>
            <w:u w:val="none"/>
          </w:rPr>
          <w:t>свода</w:t>
        </w:r>
      </w:hyperlink>
      <w:r>
        <w:rPr>
          <w:rFonts w:ascii="Times New Roman" w:hAnsi="Times New Roman" w:cs="Times New Roman"/>
        </w:rPr>
        <w:t xml:space="preserve"> правил «СП 476.1325800.2020. Свод правил. Территории городских и сельских поселений. Правила планировки, застройки и благоустройства жилых микрорайонов», утвержденного приказом Минстроя России от 24.01.2020 № 33/</w:t>
      </w: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>) (далее - СП 476.1325800.2020).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1.3.4 в части: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обеспеченности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86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 xml:space="preserve"> (с последующими изменениями), </w:t>
      </w:r>
      <w:hyperlink r:id="rId87" w:history="1">
        <w:r>
          <w:rPr>
            <w:rStyle w:val="a9"/>
            <w:rFonts w:ascii="Times New Roman" w:hAnsi="Times New Roman" w:cs="Times New Roman"/>
            <w:u w:val="none"/>
          </w:rPr>
          <w:t>СП 476.1325800.2020</w:t>
        </w:r>
      </w:hyperlink>
      <w:r>
        <w:rPr>
          <w:rFonts w:ascii="Times New Roman" w:hAnsi="Times New Roman" w:cs="Times New Roman"/>
        </w:rPr>
        <w:t>;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территориальной доступности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на основе </w:t>
      </w:r>
      <w:hyperlink r:id="rId88" w:history="1">
        <w:r>
          <w:rPr>
            <w:rStyle w:val="a9"/>
            <w:rFonts w:ascii="Times New Roman" w:hAnsi="Times New Roman" w:cs="Times New Roman"/>
            <w:u w:val="none"/>
          </w:rPr>
          <w:t>СП 42.13330.2016</w:t>
        </w:r>
      </w:hyperlink>
      <w:r>
        <w:rPr>
          <w:rFonts w:ascii="Times New Roman" w:hAnsi="Times New Roman" w:cs="Times New Roman"/>
        </w:rPr>
        <w:t xml:space="preserve"> (с последующими изменениями).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</w:p>
    <w:p w:rsidR="00A810DD" w:rsidRDefault="00A810DD" w:rsidP="00A81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2.11.1 Обоснование предельных значений расчетных показателей минимально допустимого уровня обеспеченности объектами в области хранения и (или) паркования транспортных средств местного значения населения Пензенской области, и предельных значений расчетных показателей максимально допустимого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уровня территориальной доступности таких объектов для населения Пензенской области, содержащихся в </w:t>
      </w:r>
      <w:hyperlink r:id="rId89" w:history="1">
        <w:r>
          <w:rPr>
            <w:rStyle w:val="a9"/>
            <w:rFonts w:ascii="Times New Roman" w:hAnsi="Times New Roman" w:cs="Times New Roman"/>
            <w:sz w:val="20"/>
            <w:szCs w:val="20"/>
            <w:u w:val="none"/>
          </w:rPr>
          <w:t>разделе 1.11.1 части 1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региональных нормативов градостроительного проектирования Пензенской области.</w:t>
      </w:r>
      <w:proofErr w:type="gramEnd"/>
    </w:p>
    <w:p w:rsidR="00A810DD" w:rsidRDefault="00A810DD" w:rsidP="00A810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1 в части:</w:t>
      </w:r>
    </w:p>
    <w:p w:rsidR="00A810DD" w:rsidRDefault="00A810DD" w:rsidP="00A810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обеспеченности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 основе </w:t>
      </w:r>
      <w:hyperlink r:id="rId90" w:history="1">
        <w:r>
          <w:rPr>
            <w:rStyle w:val="a9"/>
            <w:rFonts w:ascii="Times New Roman" w:hAnsi="Times New Roman" w:cs="Times New Roman"/>
            <w:sz w:val="20"/>
            <w:szCs w:val="20"/>
            <w:u w:val="none"/>
          </w:rPr>
          <w:t>свода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«СП 476.1325800.2020. Свод правил. Территории городских и сельских поселений. Правила планировки, застройки и благоустройства жилых микрорайонов», утвержденного и введенного в действие приказом Минстроя России от 24.01.2020 N 33/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, с учетом показателей жилищной обеспеченности в среднем на одного жителя - 35 кв. м согласно </w:t>
      </w:r>
      <w:hyperlink r:id="rId91" w:history="1">
        <w:r>
          <w:rPr>
            <w:rStyle w:val="a9"/>
            <w:rFonts w:ascii="Times New Roman" w:hAnsi="Times New Roman" w:cs="Times New Roman"/>
            <w:sz w:val="20"/>
            <w:szCs w:val="20"/>
            <w:u w:val="none"/>
          </w:rPr>
          <w:t>Стратегии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социально-экономического развития Пензенской области на период до 2035 года, утвержденной Законом Пензенской области от 15.05.2019 № 3323-ЗПО «О Стратегии социально-экономического развития Пензенской области на период до 2035 года» (с последующими изменениями) (далее - стратегия), уровня автомобилизации на расчетный срок - 399 легковых автомобилей на 1000 человек населения Пензенской области. Расчетный срок принят - до 2035 года согласно периоду стратегии и периоду прогноза социально-экономического развития Пензенской области на долгосрочный период (до 2035 года), утвержденного распоряжением Правительства Пензенской области от 26.08.2015 № 344-рП (с последующими изменениями).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 расчете уровня автомобилизации были использованы размещенные на официальном сайте Федеральной службы государственной статистики (Росстат) данные о числе собственных легковых автомобилей на 1000 человек населения по Пензенской области;</w:t>
      </w:r>
      <w:proofErr w:type="gramEnd"/>
    </w:p>
    <w:p w:rsidR="00A810DD" w:rsidRDefault="00A810DD" w:rsidP="00A810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 основе </w:t>
      </w:r>
      <w:hyperlink r:id="rId92" w:history="1">
        <w:r>
          <w:rPr>
            <w:rStyle w:val="a9"/>
            <w:rFonts w:ascii="Times New Roman" w:hAnsi="Times New Roman" w:cs="Times New Roman"/>
            <w:sz w:val="20"/>
            <w:szCs w:val="20"/>
            <w:u w:val="none"/>
          </w:rPr>
          <w:t>свода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«СП 42.13330.2016. Свод правил. Градостроительство. Планировка и застройка городских и сельских поселений. Актуализированная редакция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СНиП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2.07.01-89*», утвержденного приказом Минстроя России от 30.12.2016 № 1034/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(с последующими изменениями) (далее - СП 42.13330.2016 (с последующими изменениями)).</w:t>
      </w:r>
    </w:p>
    <w:p w:rsidR="00A810DD" w:rsidRDefault="00A810DD" w:rsidP="00A810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2.1 - № 2.2, № 2.5 - № 2.12, № 2.14 - № 2.33 в части обеспеченности и территориальной доступности приняты на основе </w:t>
      </w:r>
      <w:hyperlink r:id="rId93" w:history="1">
        <w:r>
          <w:rPr>
            <w:rStyle w:val="a9"/>
            <w:rFonts w:ascii="Times New Roman" w:hAnsi="Times New Roman" w:cs="Times New Roman"/>
            <w:sz w:val="20"/>
            <w:szCs w:val="20"/>
            <w:u w:val="none"/>
          </w:rPr>
          <w:t>СП 42.13330.2016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:rsidR="00A810DD" w:rsidRDefault="00A810DD" w:rsidP="00A810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2.13 в части:</w:t>
      </w:r>
    </w:p>
    <w:p w:rsidR="00A810DD" w:rsidRDefault="00A810DD" w:rsidP="00A810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обеспеченности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 основе </w:t>
      </w:r>
      <w:hyperlink r:id="rId94" w:history="1">
        <w:r>
          <w:rPr>
            <w:rStyle w:val="a9"/>
            <w:rFonts w:ascii="Times New Roman" w:hAnsi="Times New Roman" w:cs="Times New Roman"/>
            <w:sz w:val="20"/>
            <w:szCs w:val="20"/>
            <w:u w:val="none"/>
          </w:rPr>
          <w:t>СП 42.13330.2016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(с последующими изменениями), </w:t>
      </w:r>
      <w:hyperlink r:id="rId95" w:history="1">
        <w:r>
          <w:rPr>
            <w:rStyle w:val="a9"/>
            <w:rFonts w:ascii="Times New Roman" w:hAnsi="Times New Roman" w:cs="Times New Roman"/>
            <w:sz w:val="20"/>
            <w:szCs w:val="20"/>
            <w:u w:val="none"/>
          </w:rPr>
          <w:t>свода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«СП 309.1325800.2017. Свод правил. Здания театрально-зрелищные. Правила проектирования», утвержденного приказом Минстроя России от 29.08.2017 № 1179/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A810DD" w:rsidRDefault="00A810DD" w:rsidP="00A810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 основе </w:t>
      </w:r>
      <w:hyperlink r:id="rId96" w:history="1">
        <w:r>
          <w:rPr>
            <w:rStyle w:val="a9"/>
            <w:rFonts w:ascii="Times New Roman" w:hAnsi="Times New Roman" w:cs="Times New Roman"/>
            <w:sz w:val="20"/>
            <w:szCs w:val="20"/>
            <w:u w:val="none"/>
          </w:rPr>
          <w:t>СП 42.13330.2016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:rsidR="00A810DD" w:rsidRDefault="00A810DD" w:rsidP="00A810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2.4 в части:</w:t>
      </w:r>
    </w:p>
    <w:p w:rsidR="00A810DD" w:rsidRDefault="00A810DD" w:rsidP="00A810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обеспеченности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 основе свода </w:t>
      </w:r>
      <w:hyperlink r:id="rId97" w:history="1">
        <w:r>
          <w:rPr>
            <w:rStyle w:val="a9"/>
            <w:rFonts w:ascii="Times New Roman" w:hAnsi="Times New Roman" w:cs="Times New Roman"/>
            <w:sz w:val="20"/>
            <w:szCs w:val="20"/>
            <w:u w:val="none"/>
          </w:rPr>
          <w:t>правил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«СП 251.1325800.2016. Свод правил. Здания общеобразовательных организаций. Правила проектирования», утвержденных Приказом Минстроя России от 17.08.2016 № 572/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 (с последующими изменениями).</w:t>
      </w:r>
    </w:p>
    <w:p w:rsidR="00A810DD" w:rsidRDefault="00A810DD" w:rsidP="00A810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 основе </w:t>
      </w:r>
      <w:hyperlink r:id="rId98" w:history="1">
        <w:r>
          <w:rPr>
            <w:rStyle w:val="a9"/>
            <w:rFonts w:ascii="Times New Roman" w:hAnsi="Times New Roman" w:cs="Times New Roman"/>
            <w:sz w:val="20"/>
            <w:szCs w:val="20"/>
            <w:u w:val="none"/>
          </w:rPr>
          <w:t>СП 42.13330.2016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</w:t>
      </w:r>
      <w:proofErr w:type="gramStart"/>
      <w:r>
        <w:rPr>
          <w:rFonts w:ascii="Times New Roman" w:hAnsi="Times New Roman" w:cs="Times New Roman"/>
        </w:rPr>
        <w:t xml:space="preserve">Обоснование предельных значений расчетных показателей минимально допустимого уровня обеспеченности объектами инфраструктуры велосипедного транспорта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области, содержащихся в </w:t>
      </w:r>
      <w:hyperlink r:id="rId99" w:anchor="P2302" w:history="1">
        <w:r>
          <w:rPr>
            <w:rStyle w:val="a9"/>
            <w:rFonts w:ascii="Times New Roman" w:hAnsi="Times New Roman" w:cs="Times New Roman"/>
            <w:u w:val="none"/>
          </w:rPr>
          <w:t>разделе 1.8 части 1</w:t>
        </w:r>
      </w:hyperlink>
      <w:r>
        <w:rPr>
          <w:rFonts w:ascii="Times New Roman" w:hAnsi="Times New Roman" w:cs="Times New Roman"/>
        </w:rPr>
        <w:t xml:space="preserve"> местных нормативов градостроительного проектирования </w:t>
      </w:r>
      <w:proofErr w:type="spellStart"/>
      <w:r>
        <w:rPr>
          <w:rFonts w:ascii="Times New Roman" w:hAnsi="Times New Roman" w:cs="Times New Roman"/>
        </w:rPr>
        <w:t>Большеумысского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Камешкирского</w:t>
      </w:r>
      <w:proofErr w:type="spellEnd"/>
      <w:r>
        <w:rPr>
          <w:rFonts w:ascii="Times New Roman" w:hAnsi="Times New Roman" w:cs="Times New Roman"/>
        </w:rPr>
        <w:t xml:space="preserve"> района Пензенской области.</w:t>
      </w:r>
      <w:proofErr w:type="gramEnd"/>
    </w:p>
    <w:p w:rsidR="00A810DD" w:rsidRDefault="00A810DD" w:rsidP="00A810D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1.1 - № 1.5, № 2.1 в части обеспеченности приняты на основе </w:t>
      </w:r>
      <w:hyperlink r:id="rId100" w:history="1">
        <w:r>
          <w:rPr>
            <w:rStyle w:val="a9"/>
            <w:rFonts w:ascii="Times New Roman" w:hAnsi="Times New Roman" w:cs="Times New Roman"/>
            <w:u w:val="none"/>
          </w:rPr>
          <w:t>свода</w:t>
        </w:r>
      </w:hyperlink>
      <w:r>
        <w:rPr>
          <w:rFonts w:ascii="Times New Roman" w:hAnsi="Times New Roman" w:cs="Times New Roman"/>
        </w:rPr>
        <w:t xml:space="preserve"> правил «СП 42.13330.2016. Свод правил. Градостроительство. Планировка и застройка городских и сельских поселений. Актуализированная редакция </w:t>
      </w:r>
      <w:proofErr w:type="spellStart"/>
      <w:r>
        <w:rPr>
          <w:rFonts w:ascii="Times New Roman" w:hAnsi="Times New Roman" w:cs="Times New Roman"/>
        </w:rPr>
        <w:t>СНиП</w:t>
      </w:r>
      <w:proofErr w:type="spellEnd"/>
      <w:r>
        <w:rPr>
          <w:rFonts w:ascii="Times New Roman" w:hAnsi="Times New Roman" w:cs="Times New Roman"/>
        </w:rPr>
        <w:t xml:space="preserve"> 2.07.01-89*», утвержденного приказом Минстроя России от 30.12.2016 № 1034/</w:t>
      </w: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 xml:space="preserve"> (с последующими изменениями), Методических </w:t>
      </w:r>
      <w:hyperlink r:id="rId101" w:history="1">
        <w:r>
          <w:rPr>
            <w:rStyle w:val="a9"/>
            <w:rFonts w:ascii="Times New Roman" w:hAnsi="Times New Roman" w:cs="Times New Roman"/>
            <w:u w:val="none"/>
          </w:rPr>
          <w:t>рекомендаций</w:t>
        </w:r>
      </w:hyperlink>
      <w:r>
        <w:rPr>
          <w:rFonts w:ascii="Times New Roman" w:hAnsi="Times New Roman" w:cs="Times New Roman"/>
        </w:rPr>
        <w:t xml:space="preserve"> для подготовки правил благоустройства территорий поселений, городских округов, внутригородских районов, утвержденных приказом Министерства строительства и жилищно-коммунального хозяйства Российской Федерации                    от 13.04.2017 № 711/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, Методических рекомендаций по разработке и реализации мероприятий по организации дорожного движения. </w:t>
      </w:r>
      <w:proofErr w:type="gramStart"/>
      <w:r>
        <w:rPr>
          <w:rFonts w:ascii="Times New Roman" w:hAnsi="Times New Roman" w:cs="Times New Roman"/>
        </w:rPr>
        <w:t>Требований к планированию развития инфраструктуры велосипедного транспорта поселений, городских округов в Российской Федерации, согласованных Минтрансом России 24.07.2018 (одобренных протоколом Научно-технического совета открытого акционерного общества «Научно-исследовательский институт автомобильного транспорта» от 25 апреля 2017 г. № 2 и Межведомственным координационным комитетом проекта ПРООН/</w:t>
      </w:r>
      <w:proofErr w:type="spellStart"/>
      <w:r>
        <w:rPr>
          <w:rFonts w:ascii="Times New Roman" w:hAnsi="Times New Roman" w:cs="Times New Roman"/>
        </w:rPr>
        <w:t>ГЭФ-Минтранса</w:t>
      </w:r>
      <w:proofErr w:type="spellEnd"/>
      <w:r>
        <w:rPr>
          <w:rFonts w:ascii="Times New Roman" w:hAnsi="Times New Roman" w:cs="Times New Roman"/>
        </w:rPr>
        <w:t xml:space="preserve"> России «Сокращение </w:t>
      </w:r>
      <w:r>
        <w:rPr>
          <w:rFonts w:ascii="Times New Roman" w:hAnsi="Times New Roman" w:cs="Times New Roman"/>
        </w:rPr>
        <w:lastRenderedPageBreak/>
        <w:t xml:space="preserve">выбросов парниковых газов от автомобильного транспорта в городах России» 5 октября 2017 года), </w:t>
      </w:r>
      <w:hyperlink r:id="rId102" w:history="1">
        <w:r>
          <w:rPr>
            <w:rStyle w:val="a9"/>
            <w:rFonts w:ascii="Times New Roman" w:hAnsi="Times New Roman" w:cs="Times New Roman"/>
            <w:u w:val="none"/>
          </w:rPr>
          <w:t>ГОСТ 33150-2014</w:t>
        </w:r>
      </w:hyperlink>
      <w:r>
        <w:rPr>
          <w:rFonts w:ascii="Times New Roman" w:hAnsi="Times New Roman" w:cs="Times New Roman"/>
        </w:rPr>
        <w:t>. Межгосударственный стандарт</w:t>
      </w:r>
      <w:proofErr w:type="gramEnd"/>
      <w:r>
        <w:rPr>
          <w:rFonts w:ascii="Times New Roman" w:hAnsi="Times New Roman" w:cs="Times New Roman"/>
        </w:rPr>
        <w:t xml:space="preserve">. Дороги автомобильные общего пользования. Проектирование пешеходных и велосипедных дорожек. </w:t>
      </w:r>
      <w:proofErr w:type="gramStart"/>
      <w:r>
        <w:rPr>
          <w:rFonts w:ascii="Times New Roman" w:hAnsi="Times New Roman" w:cs="Times New Roman"/>
        </w:rPr>
        <w:t xml:space="preserve">Общие требования, введенного в действие приказом </w:t>
      </w:r>
      <w:proofErr w:type="spellStart"/>
      <w:r>
        <w:rPr>
          <w:rFonts w:ascii="Times New Roman" w:hAnsi="Times New Roman" w:cs="Times New Roman"/>
        </w:rPr>
        <w:t>Росстандарта</w:t>
      </w:r>
      <w:proofErr w:type="spellEnd"/>
      <w:r>
        <w:rPr>
          <w:rFonts w:ascii="Times New Roman" w:hAnsi="Times New Roman" w:cs="Times New Roman"/>
        </w:rPr>
        <w:t xml:space="preserve"> от 31.08.2015               № 1206-ст.</w:t>
      </w:r>
      <w:proofErr w:type="gramEnd"/>
    </w:p>
    <w:p w:rsidR="00A810DD" w:rsidRDefault="00A810DD" w:rsidP="00A810DD">
      <w:pPr>
        <w:keepNext/>
        <w:widowControl w:val="0"/>
        <w:spacing w:before="126" w:after="6" w:line="240" w:lineRule="auto"/>
        <w:outlineLvl w:val="0"/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</w:pPr>
    </w:p>
    <w:p w:rsidR="00A810DD" w:rsidRDefault="00A810DD" w:rsidP="00A810DD">
      <w:pPr>
        <w:keepNext/>
        <w:widowControl w:val="0"/>
        <w:numPr>
          <w:ilvl w:val="0"/>
          <w:numId w:val="2"/>
        </w:numPr>
        <w:spacing w:before="126" w:after="6" w:line="240" w:lineRule="auto"/>
        <w:jc w:val="center"/>
        <w:outlineLvl w:val="0"/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t xml:space="preserve">3. Правила и область применения расчетных показателей, содержащихся в основной части </w:t>
      </w:r>
      <w:bookmarkStart w:id="52" w:name="__DdeLink__358501_1129944861"/>
      <w:r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t xml:space="preserve">местных нормативов градостроительного проектирования </w:t>
      </w:r>
      <w:r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br/>
      </w:r>
      <w:bookmarkEnd w:id="52"/>
    </w:p>
    <w:p w:rsidR="00A810DD" w:rsidRDefault="00A810DD" w:rsidP="00A810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3.1. Область применения расчетных показателей местных нормативов градостроительного проектирования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Камешкирскогорайона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Пензенской области.</w:t>
      </w:r>
    </w:p>
    <w:p w:rsidR="00A810DD" w:rsidRDefault="00A810DD" w:rsidP="00A810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Действие расчетных показателей местных нормативов градостроительного проектирования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района Пензенской области распространяется на всю территорию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района Пензенской области, где имеются объекты нормирования, относящиеся к объектам местного значения. Местные нормативы градостроительного проектирования являются обязательными для применения всеми участниками деятельности, связанной с градостроительным проектированием, на территории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района Пензенской области независимо от ведомственной подчиненности и форм собственности: государственными органами и органами местного самоуправления, юридическими и физическими лицами.</w:t>
      </w:r>
    </w:p>
    <w:p w:rsidR="00A810DD" w:rsidRDefault="00A810DD" w:rsidP="00A810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Расчетные показатели местных нормативов градостроительного проектирования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района Пензенской области применяются при подготовке, согласовании и утверждении документов территориального планирования, при подготовке и утверждении документации по планировке территорий, при подготовке и утверждении местных нормативов градостроительного проектирования. </w:t>
      </w:r>
    </w:p>
    <w:p w:rsidR="00A810DD" w:rsidRDefault="00A810DD" w:rsidP="00A810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Расчетные показатели местных нормативов градостроительного проектирования также применяются:</w:t>
      </w:r>
    </w:p>
    <w:p w:rsidR="00A810DD" w:rsidRDefault="00A810DD" w:rsidP="00A810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- при проведении общественных обсуждений или публичных слушаний по проектам генеральных планов,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A810DD" w:rsidRDefault="00A810DD" w:rsidP="00A810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- в других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района Пензенской области и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района Пензенской области.</w:t>
      </w:r>
    </w:p>
    <w:p w:rsidR="00A810DD" w:rsidRDefault="00A810DD" w:rsidP="00A810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При отмене и (или) изменении действующих нормативных документов Российской Федерации, в том числе тех,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нормативах, следует руководствоваться нормами, вводимыми взамен отмененных. </w:t>
      </w:r>
    </w:p>
    <w:p w:rsidR="00A810DD" w:rsidRDefault="00A810DD" w:rsidP="00A810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3.2. Правила применения расчетных показателей местных нормативов градостроительного проектирования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Большеумысского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сельсовета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proofErr w:type="spell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района Пензенской области.</w:t>
      </w:r>
    </w:p>
    <w:p w:rsidR="00A810DD" w:rsidRDefault="00A810DD" w:rsidP="00A810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 и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области,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proofErr w:type="spell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 в документах территориального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планирования,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A810DD" w:rsidRDefault="00A810DD" w:rsidP="00A810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proofErr w:type="gramStart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проч.),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объектов.</w:t>
      </w:r>
    </w:p>
    <w:p w:rsidR="00590F7D" w:rsidRDefault="00590F7D"/>
    <w:sectPr w:rsidR="00590F7D" w:rsidSect="00AB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6590"/>
    <w:multiLevelType w:val="multilevel"/>
    <w:tmpl w:val="320C5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0DD"/>
    <w:rsid w:val="00085661"/>
    <w:rsid w:val="00176402"/>
    <w:rsid w:val="0024398D"/>
    <w:rsid w:val="00590F7D"/>
    <w:rsid w:val="00A810DD"/>
    <w:rsid w:val="00AB73FC"/>
    <w:rsid w:val="00CF6467"/>
    <w:rsid w:val="00E87486"/>
    <w:rsid w:val="00F03802"/>
    <w:rsid w:val="00F8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D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10D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81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81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10DD"/>
  </w:style>
  <w:style w:type="paragraph" w:styleId="a7">
    <w:name w:val="Balloon Text"/>
    <w:basedOn w:val="a"/>
    <w:link w:val="a8"/>
    <w:uiPriority w:val="99"/>
    <w:semiHidden/>
    <w:unhideWhenUsed/>
    <w:rsid w:val="00A8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10D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10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81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10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A81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1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10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10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10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810D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810D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D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10D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81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81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10DD"/>
  </w:style>
  <w:style w:type="paragraph" w:styleId="a7">
    <w:name w:val="Balloon Text"/>
    <w:basedOn w:val="a"/>
    <w:link w:val="a8"/>
    <w:uiPriority w:val="99"/>
    <w:semiHidden/>
    <w:unhideWhenUsed/>
    <w:rsid w:val="00A8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10D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10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81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10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A81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1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10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10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10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810D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810D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21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42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47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63" Type="http://schemas.openxmlformats.org/officeDocument/2006/relationships/hyperlink" Target="consultantplus://offline/ref=41A632AFACD1A328DE6BA16C9023F54C6361DCC41E2C7B4EB71BB2A3A7DB6F58A38AAC829A133D936D425582530CI" TargetMode="External"/><Relationship Id="rId68" Type="http://schemas.openxmlformats.org/officeDocument/2006/relationships/hyperlink" Target="consultantplus://offline/ref=41A632AFACD1A328DE6BA16C9023F54C6361DCC41E2C7B4EB71BB2A3A7DB6F58A38AAC829A133D936D425582530CI" TargetMode="External"/><Relationship Id="rId84" Type="http://schemas.openxmlformats.org/officeDocument/2006/relationships/hyperlink" Target="consultantplus://offline/ref=41A632AFACD1A328DE6BA16C9023F54C6361DCC41E2C7B4EB71BB2A3A7DB6F58A38AAC829A133D936D425582530CI" TargetMode="External"/><Relationship Id="rId89" Type="http://schemas.openxmlformats.org/officeDocument/2006/relationships/hyperlink" Target="consultantplus://offline/ref=1F324A6B9D4CF96861689788D75903763112617BA91F8781B050C5FC349A369BB438A8CE8BAEBEBA4611BDABEF8376F40221B437FFF92D7865B9C0B8F2DFO" TargetMode="External"/><Relationship Id="rId7" Type="http://schemas.openxmlformats.org/officeDocument/2006/relationships/hyperlink" Target="consultantplus://offline/ref=41A632AFACD1A328DE6BA16C9023F54C6361DCC41E2C7B4EB71BB2A3A7DB6F58A38AAC829A133D936D425582530CI" TargetMode="External"/><Relationship Id="rId71" Type="http://schemas.openxmlformats.org/officeDocument/2006/relationships/hyperlink" Target="consultantplus://offline/ref=41A632AFACD1A328DE6BA16C9023F54C6360D1C7142C7B4EB71BB2A3A7DB6F58A38AAC829A133D936D425582530CI" TargetMode="External"/><Relationship Id="rId92" Type="http://schemas.openxmlformats.org/officeDocument/2006/relationships/hyperlink" Target="consultantplus://offline/ref=1F324A6B9D4CF96861689690C4355D79321D3675A011D7DDEC58CFA96CC56FCBF369AE9BC1F4B3B95813B8A8FEDDO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29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11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24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32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37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40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45" Type="http://schemas.openxmlformats.org/officeDocument/2006/relationships/hyperlink" Target="consultantplus://offline/ref=786F263B8CB9941A78E6B5029CE0553B6679C28101110A38B8149F5F03102EE6B6ED8604C63A26582E5336C57275N" TargetMode="External"/><Relationship Id="rId53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58" Type="http://schemas.openxmlformats.org/officeDocument/2006/relationships/hyperlink" Target="consultantplus://offline/ref=41A632AFACD1A328DE6BBE799523F54C6261DDC210212644BF42BEA1A0D4305DB69BF48D9D082392725E57803F500CI" TargetMode="External"/><Relationship Id="rId66" Type="http://schemas.openxmlformats.org/officeDocument/2006/relationships/hyperlink" Target="consultantplus://offline/ref=41A632AFACD1A328DE6BA16C9023F54C6361DCC41E2C7B4EB71BB2A3A7DB6F58A38AAC829A133D936D425582530CI" TargetMode="External"/><Relationship Id="rId74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79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87" Type="http://schemas.openxmlformats.org/officeDocument/2006/relationships/hyperlink" Target="consultantplus://offline/ref=41A632AFACD1A328DE6BA16C9023F54C6360D3C6142C7B4EB71BB2A3A7DB6F58A38AAC829A133D936D425582530CI" TargetMode="External"/><Relationship Id="rId102" Type="http://schemas.openxmlformats.org/officeDocument/2006/relationships/hyperlink" Target="consultantplus://offline/ref=41A632AFACD1A328DE6BA16C9023F54C606CD7CF172C7B4EB71BB2A3A7DB6F58A38AAC829A133D936D425582530CI" TargetMode="External"/><Relationship Id="rId5" Type="http://schemas.openxmlformats.org/officeDocument/2006/relationships/image" Target="media/image1.jpeg"/><Relationship Id="rId61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82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90" Type="http://schemas.openxmlformats.org/officeDocument/2006/relationships/hyperlink" Target="consultantplus://offline/ref=1F324A6B9D4CF96861689690C4355D79321C3977AA11D7DDEC58CFA96CC56FCBF369AE9BC1F4B3B95813B8A8FEDDO" TargetMode="External"/><Relationship Id="rId95" Type="http://schemas.openxmlformats.org/officeDocument/2006/relationships/hyperlink" Target="consultantplus://offline/ref=1F324A6B9D4CF96861689690C4355D7932183677AB11D7DDEC58CFA96CC56FCBF369AE9BC1F4B3B95813B8A8FEDDO" TargetMode="External"/><Relationship Id="rId19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14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22" Type="http://schemas.openxmlformats.org/officeDocument/2006/relationships/hyperlink" Target="consultantplus://offline/ref=41A632AFACD1A328DE6BBE799523F54C6260D4C01F262644BF42BEA1A0D4305DB69BF48D9D082392725E57803F500CI" TargetMode="External"/><Relationship Id="rId27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30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35" Type="http://schemas.openxmlformats.org/officeDocument/2006/relationships/hyperlink" Target="consultantplus://offline/ref=5415B178849EF1707537406950B81DDE3932E8B4162B11FA370F316569BB3BE109163BE4B7044E0EAD2C5CDE06D9D2896DD3160C84F54EB26C8364F0W27AN" TargetMode="External"/><Relationship Id="rId43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48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56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64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69" Type="http://schemas.openxmlformats.org/officeDocument/2006/relationships/hyperlink" Target="consultantplus://offline/ref=41A632AFACD1A328DE6BA16C9023F54C656DD5C71D717146EE17B0A4A8846A4DB2D2A385810D3C8C7140575801I" TargetMode="External"/><Relationship Id="rId77" Type="http://schemas.openxmlformats.org/officeDocument/2006/relationships/hyperlink" Target="consultantplus://offline/ref=41A632AFACD1A328DE6BA16C9023F54C6361DCC41E2C7B4EB71BB2A3A7DB6F58A38AAC829A133D936D425582530CI" TargetMode="External"/><Relationship Id="rId100" Type="http://schemas.openxmlformats.org/officeDocument/2006/relationships/hyperlink" Target="consultantplus://offline/ref=41A632AFACD1A328DE6BA16C9023F54C6361DCC41E2C7B4EB71BB2A3A7DB6F58A38AAC829A133D936D425582530CI" TargetMode="External"/><Relationship Id="rId105" Type="http://schemas.microsoft.com/office/2007/relationships/stylesWithEffects" Target="stylesWithEffects.xml"/><Relationship Id="rId8" Type="http://schemas.openxmlformats.org/officeDocument/2006/relationships/hyperlink" Target="consultantplus://offline/ref=41A632AFACD1A328DE6BA16C9023F54C6360D1C7122C7B4EB71BB2A3A7DB6F58A38AAC829A133D936D425582530CI" TargetMode="External"/><Relationship Id="rId51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72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80" Type="http://schemas.openxmlformats.org/officeDocument/2006/relationships/hyperlink" Target="consultantplus://offline/ref=41A632AFACD1A328DE6BA16C9023F54C6361DCC41E2C7B4EB71BB2A3A7DB6F58A38AAC829A133D936D425582530CI" TargetMode="External"/><Relationship Id="rId85" Type="http://schemas.openxmlformats.org/officeDocument/2006/relationships/hyperlink" Target="consultantplus://offline/ref=41A632AFACD1A328DE6BA16C9023F54C6360D3C6142C7B4EB71BB2A3A7DB6F58A38AAC829A133D936D425582530CI" TargetMode="External"/><Relationship Id="rId93" Type="http://schemas.openxmlformats.org/officeDocument/2006/relationships/hyperlink" Target="consultantplus://offline/ref=1F324A6B9D4CF96861689690C4355D79321D3675A011D7DDEC58CFA96CC56FCBF369AE9BC1F4B3B95813B8A8FEDDO" TargetMode="External"/><Relationship Id="rId98" Type="http://schemas.openxmlformats.org/officeDocument/2006/relationships/hyperlink" Target="consultantplus://offline/ref=1F324A6B9D4CF96861689690C4355D79321D3675A011D7DDEC58CFA96CC56FCBF369AE9BC1F4B3B95813B8A8FEDDO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17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25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33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38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46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59" Type="http://schemas.openxmlformats.org/officeDocument/2006/relationships/hyperlink" Target="consultantplus://offline/ref=41A632AFACD1A328DE6BB7609223F54C646DD2C016262644BF42BEA1A0D4305DB69BF48D9D082392725E57803F500CI" TargetMode="External"/><Relationship Id="rId67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103" Type="http://schemas.openxmlformats.org/officeDocument/2006/relationships/fontTable" Target="fontTable.xml"/><Relationship Id="rId20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41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54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62" Type="http://schemas.openxmlformats.org/officeDocument/2006/relationships/hyperlink" Target="consultantplus://offline/ref=41A632AFACD1A328DE6BA16C9023F54C6063D5C6102C7B4EB71BB2A3A7DB6F4AA3D2A0809F0D3892781404C46800D63D8B5A17DF114540520FI" TargetMode="External"/><Relationship Id="rId70" Type="http://schemas.openxmlformats.org/officeDocument/2006/relationships/hyperlink" Target="consultantplus://offline/ref=41A632AFACD1A328DE6BA16C9023F54C6360D1C7152C7B4EB71BB2A3A7DB6F58A38AAC829A133D936D425582530CI" TargetMode="External"/><Relationship Id="rId75" Type="http://schemas.openxmlformats.org/officeDocument/2006/relationships/hyperlink" Target="consultantplus://offline/ref=41A632AFACD1A328DE6BA16C9023F54C6361DCC41E2C7B4EB71BB2A3A7DB6F58A38AAC829A133D936D425582530CI" TargetMode="External"/><Relationship Id="rId83" Type="http://schemas.openxmlformats.org/officeDocument/2006/relationships/hyperlink" Target="consultantplus://offline/ref=41A632AFACD1A328DE6BA16C9023F54C6361DCC41E2C7B4EB71BB2A3A7DB6F58A38AAC829A133D936D425582530CI" TargetMode="External"/><Relationship Id="rId88" Type="http://schemas.openxmlformats.org/officeDocument/2006/relationships/hyperlink" Target="consultantplus://offline/ref=41A632AFACD1A328DE6BA16C9023F54C6361DCC41E2C7B4EB71BB2A3A7DB6F58A38AAC829A133D936D425582530CI" TargetMode="External"/><Relationship Id="rId91" Type="http://schemas.openxmlformats.org/officeDocument/2006/relationships/hyperlink" Target="consultantplus://offline/ref=1F324A6B9D4CF96861689788D75903763112617BA91F8581BA56C5FC349A369BB438A8CE8BAEBEBA4611B8A9EC8376F40221B437FFF92D7865B9C0B8F2DFO" TargetMode="External"/><Relationship Id="rId96" Type="http://schemas.openxmlformats.org/officeDocument/2006/relationships/hyperlink" Target="consultantplus://offline/ref=1F324A6B9D4CF96861689690C4355D79321D3675A011D7DDEC58CFA96CC56FCBF369AE9BC1F4B3B95813B8A8FEDDO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15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23" Type="http://schemas.openxmlformats.org/officeDocument/2006/relationships/hyperlink" Target="consultantplus://offline/ref=41A632AFACD1A328DE6BBE799523F54C6260D4C01F262644BF42BEA1A0D4305DB69BF48D9D082392725E57803F500CI" TargetMode="External"/><Relationship Id="rId28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36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49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57" Type="http://schemas.openxmlformats.org/officeDocument/2006/relationships/hyperlink" Target="consultantplus://offline/ref=41A632AFACD1A328DE6BBE799523F54C6262D7CE12242644BF42BEA1A0D4305DB69BF48D9D082392725E57803F500CI" TargetMode="External"/><Relationship Id="rId10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31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44" Type="http://schemas.openxmlformats.org/officeDocument/2006/relationships/hyperlink" Target="consultantplus://offline/ref=786F263B8CB9941A78E6B5029CE0553B667DCD8400110A38B8149F5F03102EE6B6ED8604C63A26582E5336C57275N" TargetMode="External"/><Relationship Id="rId52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60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65" Type="http://schemas.openxmlformats.org/officeDocument/2006/relationships/hyperlink" Target="consultantplus://offline/ref=41A632AFACD1A328DE6BA16C9023F54C6562D5CF1D717146EE17B0A4A8846A4DB2D2A385810D3C8C7140575801I" TargetMode="External"/><Relationship Id="rId73" Type="http://schemas.openxmlformats.org/officeDocument/2006/relationships/hyperlink" Target="consultantplus://offline/ref=41A632AFACD1A328DE6BA16C9023F54C6361DCC41E2C7B4EB71BB2A3A7DB6F58A38AAC829A133D936D425582530CI" TargetMode="External"/><Relationship Id="rId78" Type="http://schemas.openxmlformats.org/officeDocument/2006/relationships/hyperlink" Target="consultantplus://offline/ref=41A632AFACD1A328DE6BA16C9023F54C6361DCC41E2C7B4EB71BB2A3A7DB6F58A38AAC829A133D936D425582530CI" TargetMode="External"/><Relationship Id="rId81" Type="http://schemas.openxmlformats.org/officeDocument/2006/relationships/hyperlink" Target="consultantplus://offline/ref=41A632AFACD1A328DE6BA16C9023F54C6361DCC41E2C7B4EB71BB2A3A7DB6F58A38AAC829A133D936D425582530CI" TargetMode="External"/><Relationship Id="rId86" Type="http://schemas.openxmlformats.org/officeDocument/2006/relationships/hyperlink" Target="consultantplus://offline/ref=41A632AFACD1A328DE6BA16C9023F54C6361DCC41E2C7B4EB71BB2A3A7DB6F58A38AAC829A133D936D425582530CI" TargetMode="External"/><Relationship Id="rId94" Type="http://schemas.openxmlformats.org/officeDocument/2006/relationships/hyperlink" Target="consultantplus://offline/ref=1F324A6B9D4CF96861689690C4355D79321D3675A011D7DDEC58CFA96CC56FCBF369AE9BC1F4B3B95813B8A8FEDDO" TargetMode="External"/><Relationship Id="rId99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101" Type="http://schemas.openxmlformats.org/officeDocument/2006/relationships/hyperlink" Target="consultantplus://offline/ref=41A632AFACD1A328DE6BBE799523F54C6364D0C11E202644BF42BEA1A0D4305DA49BAC819F0D3D927A4B01D17958D93A904416C00D47422C590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13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18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39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34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50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55" Type="http://schemas.openxmlformats.org/officeDocument/2006/relationships/hyperlink" Target="file:///C:\Users\Arx\Desktop\&#1041;&#1091;&#1082;&#1080;&#1085;&#1072;%20&#1051;.&#1053;\&#1041;&#1059;&#1050;&#1048;&#1053;&#1040;\&#1043;&#1088;&#1072;&#1076;&#1086;&#1089;&#1090;&#1088;&#1086;&#1080;&#1090;&#1077;&#1083;&#1100;&#1085;&#1072;&#1103;%20&#1076;&#1077;&#1103;&#1090;&#1077;&#1083;&#1100;&#1085;\&#1053;&#1054;&#1056;&#1052;&#1040;&#1058;&#1048;&#1042;&#1067;%20&#1043;&#1044;\2021&#1075;%20&#1053;&#1086;&#1088;&#1084;&#1072;&#1090;&#1080;&#1074;&#1099;\2021%20&#1053;&#1086;&#1088;&#1084;&#1072;&#1090;&#1080;&#1074;&#1099;%20%20&#1089;&#1086;&#1074;&#1077;&#1090;&#1099;\&#1056;&#1077;&#1096;&#1077;&#1085;&#1080;&#1077;%20&#1050;&#1052;&#1057;%20&#1053;&#1086;&#1088;&#1084;&#1072;&#1090;&#1080;&#1074;&#1099;%20&#1089;&#1086;&#1074;&#1077;&#1090;&#1099;\&#1041;.&#1059;.&#1056;&#1077;&#1096;&#1077;&#1085;&#1080;&#1077;%20&#1050;&#1052;&#1057;%20&#1053;&#1086;&#1088;&#1084;&#1072;&#1090;&#1080;&#1074;&#1099;%20&#1041;&#1086;&#1083;&#1100;&#1096;&#1077;&#1091;&#1084;&#1099;&#1089;&#1089;&#1082;&#1080;&#1081;%20%20%20%20%20%20&#1053;&#1043;&#1055;%202021&#1075;.docx" TargetMode="External"/><Relationship Id="rId76" Type="http://schemas.openxmlformats.org/officeDocument/2006/relationships/hyperlink" Target="consultantplus://offline/ref=41A632AFACD1A328DE6BA16C9023F54C6361DCC41E2C7B4EB71BB2A3A7DB6F58A38AAC829A133D936D425582530CI" TargetMode="External"/><Relationship Id="rId97" Type="http://schemas.openxmlformats.org/officeDocument/2006/relationships/hyperlink" Target="consultantplus://offline/ref=1F324A6B9D4CF96861689690C4355D79321C3F76AC11D7DDEC58CFA96CC56FCBF369AE9BC1F4B3B95813B8A8FEDDO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11376</Words>
  <Characters>64849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</dc:creator>
  <cp:lastModifiedBy>User</cp:lastModifiedBy>
  <cp:revision>8</cp:revision>
  <cp:lastPrinted>2021-04-06T11:27:00Z</cp:lastPrinted>
  <dcterms:created xsi:type="dcterms:W3CDTF">2021-03-24T08:13:00Z</dcterms:created>
  <dcterms:modified xsi:type="dcterms:W3CDTF">2021-04-06T11:28:00Z</dcterms:modified>
</cp:coreProperties>
</file>